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380.25pt;mso-position-horizontal-relative:page;mso-position-vertical-relative:page;z-index:1048" coordorigin="0,0" coordsize="12240,7605">
            <v:shape style="position:absolute;left:0;top:5160;width:12240;height:2445" coordorigin="0,5160" coordsize="12240,2445" path="m1240,7085l720,7085,720,7605,1240,7085xm12240,5160l0,5160,0,7085,12240,7085,12240,5160xe" filled="true" fillcolor="#f0f1ef" stroked="false">
              <v:path arrowok="t"/>
              <v:fill type="solid"/>
            </v:shape>
            <v:shape style="position:absolute;left:0;top:0;width:12240;height:5480" type="#_x0000_t75" stroked="false">
              <v:imagedata r:id="rId6" o:title=""/>
            </v:shape>
            <v:shape style="position:absolute;left:0;top:0;width:12240;height:7605"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61"/>
                      <w:ind w:left="720" w:right="0" w:firstLine="0"/>
                      <w:jc w:val="left"/>
                      <w:rPr>
                        <w:sz w:val="16"/>
                      </w:rPr>
                    </w:pPr>
                    <w:r>
                      <w:rPr>
                        <w:color w:val="75736A"/>
                        <w:sz w:val="16"/>
                      </w:rPr>
                      <w:t>Published: June 16, 2016</w:t>
                    </w:r>
                  </w:p>
                  <w:p>
                    <w:pPr>
                      <w:spacing w:before="4"/>
                      <w:ind w:left="720" w:right="0" w:firstLine="0"/>
                      <w:jc w:val="left"/>
                      <w:rPr>
                        <w:rFonts w:ascii="Constantia"/>
                        <w:sz w:val="46"/>
                      </w:rPr>
                    </w:pPr>
                    <w:r>
                      <w:rPr>
                        <w:rFonts w:ascii="Constantia"/>
                        <w:color w:val="2D5064"/>
                        <w:sz w:val="46"/>
                      </w:rPr>
                      <w:t>Notice of Subsidies in the Federal Marketplace</w:t>
                    </w:r>
                  </w:p>
                </w:txbxContent>
              </v:textbox>
              <w10:wrap type="non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2"/>
        </w:rPr>
      </w:pPr>
    </w:p>
    <w:p>
      <w:pPr>
        <w:pStyle w:val="BodyText"/>
        <w:spacing w:line="333" w:lineRule="auto"/>
        <w:ind w:left="720" w:right="780"/>
        <w:jc w:val="both"/>
      </w:pPr>
      <w:r>
        <w:rPr>
          <w:color w:val="414042"/>
        </w:rPr>
        <w:t>The </w:t>
      </w:r>
      <w:r>
        <w:rPr>
          <w:color w:val="414042"/>
          <w:spacing w:val="-3"/>
        </w:rPr>
        <w:t>Affordable Care </w:t>
      </w:r>
      <w:r>
        <w:rPr>
          <w:color w:val="414042"/>
        </w:rPr>
        <w:t>Act </w:t>
      </w:r>
      <w:r>
        <w:rPr>
          <w:color w:val="414042"/>
          <w:spacing w:val="-12"/>
        </w:rPr>
        <w:t>(“ACA”) </w:t>
      </w:r>
      <w:r>
        <w:rPr>
          <w:color w:val="414042"/>
        </w:rPr>
        <w:t>requires each Health Insurance Marketplace (“Marketplace”) to notify any employer</w:t>
      </w:r>
      <w:r>
        <w:rPr>
          <w:color w:val="414042"/>
          <w:spacing w:val="-32"/>
        </w:rPr>
        <w:t> </w:t>
      </w:r>
      <w:r>
        <w:rPr>
          <w:color w:val="414042"/>
          <w:spacing w:val="-4"/>
        </w:rPr>
        <w:t>whose </w:t>
      </w:r>
      <w:r>
        <w:rPr>
          <w:color w:val="414042"/>
        </w:rPr>
        <w:t>employee was determined to be eligible for Advance </w:t>
      </w:r>
      <w:r>
        <w:rPr>
          <w:color w:val="414042"/>
          <w:spacing w:val="-3"/>
        </w:rPr>
        <w:t>Premium </w:t>
      </w:r>
      <w:r>
        <w:rPr>
          <w:color w:val="414042"/>
          <w:spacing w:val="-8"/>
        </w:rPr>
        <w:t>Tax </w:t>
      </w:r>
      <w:r>
        <w:rPr>
          <w:color w:val="414042"/>
        </w:rPr>
        <w:t>Credits </w:t>
      </w:r>
      <w:r>
        <w:rPr>
          <w:color w:val="414042"/>
          <w:spacing w:val="-5"/>
        </w:rPr>
        <w:t>(“APTC”) </w:t>
      </w:r>
      <w:r>
        <w:rPr>
          <w:color w:val="414042"/>
        </w:rPr>
        <w:t>and Cost Sharing Reductions (“CSR”) because the employee attested that he or she was</w:t>
      </w:r>
      <w:r>
        <w:rPr>
          <w:color w:val="414042"/>
          <w:spacing w:val="-3"/>
        </w:rPr>
        <w:t> </w:t>
      </w:r>
      <w:r>
        <w:rPr>
          <w:color w:val="414042"/>
        </w:rPr>
        <w:t>not:</w:t>
      </w:r>
    </w:p>
    <w:p>
      <w:pPr>
        <w:pStyle w:val="BodyText"/>
        <w:spacing w:before="10"/>
        <w:rPr>
          <w:sz w:val="27"/>
        </w:rPr>
      </w:pPr>
    </w:p>
    <w:p>
      <w:pPr>
        <w:pStyle w:val="ListParagraph"/>
        <w:numPr>
          <w:ilvl w:val="0"/>
          <w:numId w:val="1"/>
        </w:numPr>
        <w:tabs>
          <w:tab w:pos="1260" w:val="left" w:leader="none"/>
        </w:tabs>
        <w:spacing w:line="240" w:lineRule="auto" w:before="0" w:after="0"/>
        <w:ind w:left="1260" w:right="0" w:hanging="270"/>
        <w:jc w:val="left"/>
        <w:rPr>
          <w:sz w:val="20"/>
        </w:rPr>
      </w:pPr>
      <w:r>
        <w:rPr>
          <w:color w:val="414042"/>
          <w:sz w:val="20"/>
        </w:rPr>
        <w:t>enrolled in employer sponsored coverage,</w:t>
      </w:r>
      <w:r>
        <w:rPr>
          <w:color w:val="414042"/>
          <w:spacing w:val="-2"/>
          <w:sz w:val="20"/>
        </w:rPr>
        <w:t> </w:t>
      </w:r>
      <w:r>
        <w:rPr>
          <w:color w:val="414042"/>
          <w:sz w:val="20"/>
        </w:rPr>
        <w:t>or</w:t>
      </w:r>
    </w:p>
    <w:p>
      <w:pPr>
        <w:pStyle w:val="BodyText"/>
        <w:rPr>
          <w:sz w:val="22"/>
        </w:rPr>
      </w:pPr>
    </w:p>
    <w:p>
      <w:pPr>
        <w:pStyle w:val="ListParagraph"/>
        <w:numPr>
          <w:ilvl w:val="0"/>
          <w:numId w:val="1"/>
        </w:numPr>
        <w:tabs>
          <w:tab w:pos="1260" w:val="left" w:leader="none"/>
        </w:tabs>
        <w:spacing w:line="240" w:lineRule="auto" w:before="157" w:after="0"/>
        <w:ind w:left="1260" w:right="0" w:hanging="270"/>
        <w:jc w:val="left"/>
        <w:rPr>
          <w:sz w:val="20"/>
        </w:rPr>
      </w:pPr>
      <w:r>
        <w:rPr>
          <w:color w:val="414042"/>
          <w:sz w:val="20"/>
        </w:rPr>
        <w:t>eligible for employer coverage that is </w:t>
      </w:r>
      <w:r>
        <w:rPr>
          <w:color w:val="414042"/>
          <w:spacing w:val="-3"/>
          <w:sz w:val="20"/>
        </w:rPr>
        <w:t>affordable </w:t>
      </w:r>
      <w:r>
        <w:rPr>
          <w:color w:val="414042"/>
          <w:sz w:val="20"/>
        </w:rPr>
        <w:t>and meets minimum value</w:t>
      </w:r>
      <w:r>
        <w:rPr>
          <w:color w:val="414042"/>
          <w:spacing w:val="-4"/>
          <w:sz w:val="20"/>
        </w:rPr>
        <w:t> </w:t>
      </w:r>
      <w:r>
        <w:rPr>
          <w:color w:val="414042"/>
          <w:sz w:val="20"/>
        </w:rPr>
        <w:t>requirements.</w:t>
      </w:r>
    </w:p>
    <w:p>
      <w:pPr>
        <w:pStyle w:val="BodyText"/>
        <w:rPr>
          <w:sz w:val="22"/>
        </w:rPr>
      </w:pPr>
    </w:p>
    <w:p>
      <w:pPr>
        <w:pStyle w:val="BodyText"/>
        <w:spacing w:line="333" w:lineRule="auto" w:before="157"/>
        <w:ind w:left="720" w:right="645"/>
      </w:pPr>
      <w:r>
        <w:rPr>
          <w:color w:val="414042"/>
        </w:rPr>
        <w:t>In </w:t>
      </w:r>
      <w:r>
        <w:rPr>
          <w:color w:val="414042"/>
          <w:spacing w:val="-5"/>
        </w:rPr>
        <w:t>2016, </w:t>
      </w:r>
      <w:r>
        <w:rPr>
          <w:color w:val="414042"/>
        </w:rPr>
        <w:t>the Federally-Facilitated Marketplace (“FFM”) will begin issuing these notices to employers. </w:t>
      </w:r>
      <w:r>
        <w:rPr>
          <w:color w:val="414042"/>
          <w:spacing w:val="-3"/>
        </w:rPr>
        <w:t>State-based </w:t>
      </w:r>
      <w:r>
        <w:rPr>
          <w:color w:val="414042"/>
        </w:rPr>
        <w:t>Marketplaces began this notification process in </w:t>
      </w:r>
      <w:r>
        <w:rPr>
          <w:color w:val="414042"/>
          <w:spacing w:val="-5"/>
        </w:rPr>
        <w:t>2015.</w:t>
      </w:r>
    </w:p>
    <w:p>
      <w:pPr>
        <w:pStyle w:val="BodyText"/>
        <w:spacing w:before="10"/>
        <w:rPr>
          <w:sz w:val="27"/>
        </w:rPr>
      </w:pPr>
    </w:p>
    <w:p>
      <w:pPr>
        <w:pStyle w:val="BodyText"/>
        <w:spacing w:line="333" w:lineRule="auto" w:before="1"/>
        <w:ind w:left="720" w:right="645"/>
      </w:pPr>
      <w:r>
        <w:rPr>
          <w:color w:val="414042"/>
          <w:spacing w:val="-3"/>
        </w:rPr>
        <w:t>Briefly, </w:t>
      </w:r>
      <w:r>
        <w:rPr>
          <w:color w:val="414042"/>
        </w:rPr>
        <w:t>these notices serve as an initial “heads-up” to the employer if any employee receives a subsidy and buys </w:t>
      </w:r>
      <w:r>
        <w:rPr>
          <w:color w:val="414042"/>
          <w:spacing w:val="-5"/>
        </w:rPr>
        <w:t>coverage </w:t>
      </w:r>
      <w:r>
        <w:rPr>
          <w:color w:val="414042"/>
        </w:rPr>
        <w:t>in the Marketplace during the current calendar </w:t>
      </w:r>
      <w:r>
        <w:rPr>
          <w:color w:val="414042"/>
          <w:spacing w:val="-3"/>
        </w:rPr>
        <w:t>year.</w:t>
      </w:r>
    </w:p>
    <w:p>
      <w:pPr>
        <w:pStyle w:val="BodyText"/>
        <w:spacing w:before="10"/>
        <w:rPr>
          <w:sz w:val="27"/>
        </w:rPr>
      </w:pPr>
    </w:p>
    <w:p>
      <w:pPr>
        <w:pStyle w:val="BodyText"/>
        <w:ind w:left="720"/>
      </w:pPr>
      <w:r>
        <w:rPr>
          <w:color w:val="414042"/>
        </w:rPr>
        <w:t>Following are some frequently asked questions.</w:t>
      </w:r>
    </w:p>
    <w:p>
      <w:pPr>
        <w:pStyle w:val="BodyText"/>
        <w:spacing w:before="9"/>
        <w:rPr>
          <w:sz w:val="28"/>
        </w:rPr>
      </w:pPr>
    </w:p>
    <w:p>
      <w:pPr>
        <w:pStyle w:val="Heading1"/>
      </w:pPr>
      <w:r>
        <w:rPr>
          <w:color w:val="2D5064"/>
        </w:rPr>
        <w:t>Q1. What states have an FFM?</w:t>
      </w:r>
    </w:p>
    <w:p>
      <w:pPr>
        <w:pStyle w:val="BodyText"/>
        <w:spacing w:before="11"/>
        <w:rPr>
          <w:rFonts w:ascii="Constantia"/>
          <w:sz w:val="30"/>
        </w:rPr>
      </w:pPr>
    </w:p>
    <w:p>
      <w:pPr>
        <w:pStyle w:val="BodyText"/>
        <w:spacing w:line="333" w:lineRule="auto"/>
        <w:ind w:left="720" w:right="627"/>
      </w:pPr>
      <w:r>
        <w:rPr>
          <w:color w:val="414042"/>
        </w:rPr>
        <w:t>Alabama, Alaska, Arizona, Arkansas, Delaware, Florida, Georgia, Hawaii, Illinois, Indiana, Iowa, Kansas, Louisiana, Maine, Michigan, Mississippi, Missouri, Montana, Nebraska, Nevada, New Hampshire, New Jersey, New Mexico, North Carolina, North Dakota, Ohio, Oklahoma, Oregon, Pennsylvania, South Carolina, South Dakota, Tennessee, Texas, Utah, Virginia, West Virginia, Wisconsin, Wyoming.</w:t>
      </w:r>
    </w:p>
    <w:p>
      <w:pPr>
        <w:spacing w:after="0" w:line="333" w:lineRule="auto"/>
        <w:sectPr>
          <w:footerReference w:type="default" r:id="rId5"/>
          <w:type w:val="continuous"/>
          <w:pgSz w:w="12240" w:h="15840"/>
          <w:pgMar w:footer="452" w:top="0" w:bottom="640" w:left="0" w:right="0"/>
        </w:sectPr>
      </w:pPr>
    </w:p>
    <w:p>
      <w:pPr>
        <w:pStyle w:val="BodyText"/>
      </w:pPr>
    </w:p>
    <w:p>
      <w:pPr>
        <w:pStyle w:val="BodyText"/>
      </w:pPr>
    </w:p>
    <w:p>
      <w:pPr>
        <w:pStyle w:val="BodyText"/>
        <w:spacing w:before="5"/>
        <w:rPr>
          <w:sz w:val="16"/>
        </w:rPr>
      </w:pPr>
    </w:p>
    <w:p>
      <w:pPr>
        <w:spacing w:after="0"/>
        <w:rPr>
          <w:sz w:val="16"/>
        </w:rPr>
        <w:sectPr>
          <w:headerReference w:type="default" r:id="rId7"/>
          <w:pgSz w:w="12240" w:h="15840"/>
          <w:pgMar w:header="0" w:footer="452" w:top="1320" w:bottom="640" w:left="0" w:right="0"/>
          <w:pgNumType w:start="2"/>
        </w:sectPr>
      </w:pPr>
    </w:p>
    <w:p>
      <w:pPr>
        <w:pStyle w:val="Heading1"/>
        <w:spacing w:line="331" w:lineRule="exact" w:before="44"/>
      </w:pPr>
      <w:r>
        <w:rPr>
          <w:color w:val="2D5064"/>
        </w:rPr>
        <w:t>Q2. Which employers will be notified</w:t>
      </w:r>
    </w:p>
    <w:p>
      <w:pPr>
        <w:spacing w:line="331" w:lineRule="exact" w:before="0"/>
        <w:ind w:left="720" w:right="0" w:firstLine="0"/>
        <w:jc w:val="left"/>
        <w:rPr>
          <w:rFonts w:ascii="Constantia" w:hAnsi="Constantia"/>
          <w:sz w:val="28"/>
        </w:rPr>
      </w:pPr>
      <w:r>
        <w:rPr>
          <w:rFonts w:ascii="Constantia" w:hAnsi="Constantia"/>
          <w:color w:val="2D5064"/>
          <w:sz w:val="28"/>
        </w:rPr>
        <w:t>through FFM’s employer notice program?</w:t>
      </w:r>
    </w:p>
    <w:p>
      <w:pPr>
        <w:pStyle w:val="BodyText"/>
        <w:spacing w:before="11"/>
        <w:rPr>
          <w:rFonts w:ascii="Constantia"/>
          <w:sz w:val="30"/>
        </w:rPr>
      </w:pPr>
    </w:p>
    <w:p>
      <w:pPr>
        <w:pStyle w:val="BodyText"/>
        <w:spacing w:line="333" w:lineRule="auto"/>
        <w:ind w:left="720"/>
      </w:pPr>
      <w:r>
        <w:rPr>
          <w:color w:val="414042"/>
        </w:rPr>
        <w:t>The FFM will send notices to employers whose employees received an APTC in 2016 and whose employees provided FFM with information identifying the employer (e.g., the employer’s address).</w:t>
      </w:r>
    </w:p>
    <w:p>
      <w:pPr>
        <w:pStyle w:val="BodyText"/>
        <w:spacing w:before="11"/>
        <w:rPr>
          <w:sz w:val="27"/>
        </w:rPr>
      </w:pPr>
    </w:p>
    <w:p>
      <w:pPr>
        <w:pStyle w:val="BodyText"/>
        <w:spacing w:line="333" w:lineRule="auto"/>
        <w:ind w:left="720" w:right="9"/>
      </w:pPr>
      <w:r>
        <w:rPr>
          <w:color w:val="414042"/>
        </w:rPr>
        <w:t>Any employer (regardless of size) may receive a notice from FFM. The notice will identify the specific employee and include a statement that the employee is enrolled in FFM coverage with APTC. The notices will not contain the employee’s personal health information or federal tax information.</w:t>
      </w:r>
    </w:p>
    <w:p>
      <w:pPr>
        <w:pStyle w:val="BodyText"/>
        <w:rPr>
          <w:sz w:val="28"/>
        </w:rPr>
      </w:pPr>
    </w:p>
    <w:p>
      <w:pPr>
        <w:pStyle w:val="BodyText"/>
        <w:spacing w:line="333" w:lineRule="auto"/>
        <w:ind w:left="720"/>
      </w:pPr>
      <w:r>
        <w:rPr>
          <w:color w:val="414042"/>
        </w:rPr>
        <w:t>After 2016, the Department of Health and Human Services (“HHS”) will evaluate and determine whether to further expand and improve the notification program.</w:t>
      </w:r>
    </w:p>
    <w:p>
      <w:pPr>
        <w:pStyle w:val="BodyText"/>
        <w:spacing w:before="5"/>
        <w:rPr>
          <w:sz w:val="22"/>
        </w:rPr>
      </w:pPr>
    </w:p>
    <w:p>
      <w:pPr>
        <w:pStyle w:val="Heading1"/>
        <w:spacing w:line="225" w:lineRule="auto"/>
        <w:ind w:right="-9"/>
      </w:pPr>
      <w:r>
        <w:rPr>
          <w:color w:val="2D5064"/>
        </w:rPr>
        <w:t>Q3.</w:t>
      </w:r>
      <w:r>
        <w:rPr>
          <w:color w:val="2D5064"/>
          <w:spacing w:val="-8"/>
        </w:rPr>
        <w:t> </w:t>
      </w:r>
      <w:r>
        <w:rPr>
          <w:color w:val="2D5064"/>
        </w:rPr>
        <w:t>When</w:t>
      </w:r>
      <w:r>
        <w:rPr>
          <w:color w:val="2D5064"/>
          <w:spacing w:val="-15"/>
        </w:rPr>
        <w:t> </w:t>
      </w:r>
      <w:r>
        <w:rPr>
          <w:color w:val="2D5064"/>
        </w:rPr>
        <w:t>can</w:t>
      </w:r>
      <w:r>
        <w:rPr>
          <w:color w:val="2D5064"/>
          <w:spacing w:val="-14"/>
        </w:rPr>
        <w:t> </w:t>
      </w:r>
      <w:r>
        <w:rPr>
          <w:color w:val="2D5064"/>
        </w:rPr>
        <w:t>employers</w:t>
      </w:r>
      <w:r>
        <w:rPr>
          <w:color w:val="2D5064"/>
          <w:spacing w:val="-16"/>
        </w:rPr>
        <w:t> </w:t>
      </w:r>
      <w:r>
        <w:rPr>
          <w:color w:val="2D5064"/>
        </w:rPr>
        <w:t>expect</w:t>
      </w:r>
      <w:r>
        <w:rPr>
          <w:color w:val="2D5064"/>
          <w:spacing w:val="-12"/>
        </w:rPr>
        <w:t> </w:t>
      </w:r>
      <w:r>
        <w:rPr>
          <w:color w:val="2D5064"/>
          <w:spacing w:val="-3"/>
        </w:rPr>
        <w:t>to</w:t>
      </w:r>
      <w:r>
        <w:rPr>
          <w:color w:val="2D5064"/>
          <w:spacing w:val="-15"/>
        </w:rPr>
        <w:t> </w:t>
      </w:r>
      <w:r>
        <w:rPr>
          <w:color w:val="2D5064"/>
          <w:spacing w:val="-3"/>
        </w:rPr>
        <w:t>receive </w:t>
      </w:r>
      <w:r>
        <w:rPr>
          <w:color w:val="2D5064"/>
        </w:rPr>
        <w:t>notices?</w:t>
      </w:r>
    </w:p>
    <w:p>
      <w:pPr>
        <w:pStyle w:val="BodyText"/>
        <w:spacing w:before="2"/>
        <w:rPr>
          <w:rFonts w:ascii="Constantia"/>
          <w:sz w:val="31"/>
        </w:rPr>
      </w:pPr>
    </w:p>
    <w:p>
      <w:pPr>
        <w:pStyle w:val="BodyText"/>
        <w:spacing w:line="333" w:lineRule="auto"/>
        <w:ind w:left="719" w:right="5"/>
      </w:pPr>
      <w:r>
        <w:rPr>
          <w:color w:val="414042"/>
        </w:rPr>
        <w:t>The FFM will send notices in batches. The first batch will likely be released in the spring of </w:t>
      </w:r>
      <w:r>
        <w:rPr>
          <w:color w:val="414042"/>
          <w:spacing w:val="-5"/>
        </w:rPr>
        <w:t>2016. </w:t>
      </w:r>
      <w:r>
        <w:rPr>
          <w:color w:val="414042"/>
        </w:rPr>
        <w:t>HHS anticipates this will be the largest batch of notices as it will include employers whose employees enrolled in Marketplace coverage with APTC during Open Enrollment which ended on January 31, </w:t>
      </w:r>
      <w:r>
        <w:rPr>
          <w:color w:val="414042"/>
          <w:spacing w:val="-5"/>
        </w:rPr>
        <w:t>2016. </w:t>
      </w:r>
      <w:r>
        <w:rPr>
          <w:color w:val="414042"/>
        </w:rPr>
        <w:t>Additional batches of </w:t>
      </w:r>
      <w:r>
        <w:rPr>
          <w:color w:val="414042"/>
          <w:spacing w:val="-3"/>
        </w:rPr>
        <w:t>notices </w:t>
      </w:r>
      <w:r>
        <w:rPr>
          <w:color w:val="414042"/>
        </w:rPr>
        <w:t>are expected throughout </w:t>
      </w:r>
      <w:r>
        <w:rPr>
          <w:color w:val="414042"/>
          <w:spacing w:val="-5"/>
        </w:rPr>
        <w:t>2016.</w:t>
      </w:r>
    </w:p>
    <w:p>
      <w:pPr>
        <w:pStyle w:val="BodyText"/>
        <w:spacing w:before="2"/>
        <w:rPr>
          <w:sz w:val="21"/>
        </w:rPr>
      </w:pPr>
    </w:p>
    <w:p>
      <w:pPr>
        <w:pStyle w:val="Heading1"/>
      </w:pPr>
      <w:r>
        <w:rPr>
          <w:color w:val="2D5064"/>
        </w:rPr>
        <w:t>Q4. Is there an appeal process?</w:t>
      </w:r>
    </w:p>
    <w:p>
      <w:pPr>
        <w:pStyle w:val="BodyText"/>
        <w:spacing w:before="11"/>
        <w:rPr>
          <w:rFonts w:ascii="Constantia"/>
          <w:sz w:val="30"/>
        </w:rPr>
      </w:pPr>
    </w:p>
    <w:p>
      <w:pPr>
        <w:pStyle w:val="BodyText"/>
        <w:spacing w:line="333" w:lineRule="auto"/>
        <w:ind w:left="720" w:right="223"/>
      </w:pPr>
      <w:r>
        <w:rPr>
          <w:color w:val="414042"/>
          <w:spacing w:val="-8"/>
        </w:rPr>
        <w:t>Yes. </w:t>
      </w:r>
      <w:r>
        <w:rPr>
          <w:color w:val="414042"/>
        </w:rPr>
        <w:t>An employer may appeal a notice and assert that it provides its employee access to </w:t>
      </w:r>
      <w:r>
        <w:rPr>
          <w:color w:val="414042"/>
          <w:spacing w:val="-3"/>
        </w:rPr>
        <w:t>affordable,</w:t>
      </w:r>
      <w:r>
        <w:rPr>
          <w:color w:val="414042"/>
          <w:spacing w:val="-5"/>
        </w:rPr>
        <w:t> </w:t>
      </w:r>
      <w:r>
        <w:rPr>
          <w:color w:val="414042"/>
          <w:spacing w:val="-4"/>
        </w:rPr>
        <w:t>minimum</w:t>
      </w:r>
    </w:p>
    <w:p>
      <w:pPr>
        <w:pStyle w:val="BodyText"/>
        <w:spacing w:line="333" w:lineRule="auto"/>
        <w:ind w:left="720" w:right="61"/>
      </w:pPr>
      <w:r>
        <w:rPr>
          <w:color w:val="414042"/>
        </w:rPr>
        <w:t>value employer sponsored coverage or that its </w:t>
      </w:r>
      <w:r>
        <w:rPr>
          <w:color w:val="414042"/>
          <w:spacing w:val="-5"/>
        </w:rPr>
        <w:t>employee </w:t>
      </w:r>
      <w:r>
        <w:rPr>
          <w:color w:val="414042"/>
        </w:rPr>
        <w:t>is</w:t>
      </w:r>
      <w:r>
        <w:rPr>
          <w:color w:val="414042"/>
          <w:spacing w:val="-7"/>
        </w:rPr>
        <w:t> </w:t>
      </w:r>
      <w:r>
        <w:rPr>
          <w:color w:val="414042"/>
        </w:rPr>
        <w:t>enrolled</w:t>
      </w:r>
      <w:r>
        <w:rPr>
          <w:color w:val="414042"/>
          <w:spacing w:val="-6"/>
        </w:rPr>
        <w:t> </w:t>
      </w:r>
      <w:r>
        <w:rPr>
          <w:color w:val="414042"/>
        </w:rPr>
        <w:t>in</w:t>
      </w:r>
      <w:r>
        <w:rPr>
          <w:color w:val="414042"/>
          <w:spacing w:val="-6"/>
        </w:rPr>
        <w:t> </w:t>
      </w:r>
      <w:r>
        <w:rPr>
          <w:color w:val="414042"/>
        </w:rPr>
        <w:t>employer</w:t>
      </w:r>
      <w:r>
        <w:rPr>
          <w:color w:val="414042"/>
          <w:spacing w:val="-7"/>
        </w:rPr>
        <w:t> </w:t>
      </w:r>
      <w:r>
        <w:rPr>
          <w:color w:val="414042"/>
        </w:rPr>
        <w:t>coverage,</w:t>
      </w:r>
      <w:r>
        <w:rPr>
          <w:color w:val="414042"/>
          <w:spacing w:val="-6"/>
        </w:rPr>
        <w:t> </w:t>
      </w:r>
      <w:r>
        <w:rPr>
          <w:color w:val="414042"/>
        </w:rPr>
        <w:t>and</w:t>
      </w:r>
      <w:r>
        <w:rPr>
          <w:color w:val="414042"/>
          <w:spacing w:val="-6"/>
        </w:rPr>
        <w:t> </w:t>
      </w:r>
      <w:r>
        <w:rPr>
          <w:color w:val="414042"/>
        </w:rPr>
        <w:t>therefore</w:t>
      </w:r>
      <w:r>
        <w:rPr>
          <w:color w:val="414042"/>
          <w:spacing w:val="-6"/>
        </w:rPr>
        <w:t> </w:t>
      </w:r>
      <w:r>
        <w:rPr>
          <w:color w:val="414042"/>
        </w:rPr>
        <w:t>ineligible for APTC. If the employer is successful, FFM will notify the employee to encourage him or her to update their information to reflect access </w:t>
      </w:r>
      <w:r>
        <w:rPr>
          <w:color w:val="414042"/>
          <w:spacing w:val="-4"/>
        </w:rPr>
        <w:t>to, </w:t>
      </w:r>
      <w:r>
        <w:rPr>
          <w:color w:val="414042"/>
        </w:rPr>
        <w:t>or enrollment in,</w:t>
      </w:r>
      <w:r>
        <w:rPr>
          <w:color w:val="414042"/>
          <w:spacing w:val="-9"/>
        </w:rPr>
        <w:t> </w:t>
      </w:r>
      <w:r>
        <w:rPr>
          <w:color w:val="414042"/>
        </w:rPr>
        <w:t>other</w:t>
      </w:r>
    </w:p>
    <w:p>
      <w:pPr>
        <w:pStyle w:val="BodyText"/>
        <w:spacing w:line="333" w:lineRule="auto" w:before="123"/>
        <w:ind w:left="564" w:right="656"/>
      </w:pPr>
      <w:r>
        <w:rPr/>
        <w:br w:type="column"/>
      </w:r>
      <w:r>
        <w:rPr>
          <w:color w:val="414042"/>
        </w:rPr>
        <w:t>coverage. Employees will be notified that their failure to update this information with the Marketplace may result in a tax liability.</w:t>
      </w:r>
    </w:p>
    <w:p>
      <w:pPr>
        <w:pStyle w:val="BodyText"/>
        <w:spacing w:before="5"/>
        <w:rPr>
          <w:sz w:val="22"/>
        </w:rPr>
      </w:pPr>
    </w:p>
    <w:p>
      <w:pPr>
        <w:pStyle w:val="Heading1"/>
        <w:spacing w:line="225" w:lineRule="auto"/>
        <w:ind w:left="564" w:right="1181"/>
      </w:pPr>
      <w:r>
        <w:rPr>
          <w:color w:val="2D5064"/>
        </w:rPr>
        <w:t>Q5. </w:t>
      </w:r>
      <w:r>
        <w:rPr>
          <w:color w:val="2D5064"/>
          <w:spacing w:val="-5"/>
        </w:rPr>
        <w:t>How </w:t>
      </w:r>
      <w:r>
        <w:rPr>
          <w:color w:val="2D5064"/>
        </w:rPr>
        <w:t>does the employer submit an appeal?</w:t>
      </w:r>
    </w:p>
    <w:p>
      <w:pPr>
        <w:pStyle w:val="BodyText"/>
        <w:spacing w:before="2"/>
        <w:rPr>
          <w:rFonts w:ascii="Constantia"/>
          <w:sz w:val="31"/>
        </w:rPr>
      </w:pPr>
    </w:p>
    <w:p>
      <w:pPr>
        <w:pStyle w:val="BodyText"/>
        <w:spacing w:line="333" w:lineRule="auto"/>
        <w:ind w:left="564" w:right="721"/>
      </w:pPr>
      <w:r>
        <w:rPr>
          <w:color w:val="414042"/>
        </w:rPr>
        <w:t>In the FFM, the employer has 90 days from the date of receipt of the notice to request an appeal. The appeal request form is available here: </w:t>
      </w:r>
      <w:hyperlink r:id="rId8">
        <w:r>
          <w:rPr>
            <w:color w:val="405A6D"/>
          </w:rPr>
          <w:t>https://www.healthcare.</w:t>
        </w:r>
      </w:hyperlink>
      <w:r>
        <w:rPr>
          <w:color w:val="405A6D"/>
        </w:rPr>
        <w:t> </w:t>
      </w:r>
      <w:hyperlink r:id="rId8">
        <w:r>
          <w:rPr>
            <w:color w:val="405A6D"/>
          </w:rPr>
          <w:t>gov/downloads/marketplace-employer-appeal-form.pdf.</w:t>
        </w:r>
      </w:hyperlink>
      <w:r>
        <w:rPr>
          <w:color w:val="405A6D"/>
        </w:rPr>
        <w:t> </w:t>
      </w:r>
      <w:r>
        <w:rPr>
          <w:color w:val="414042"/>
        </w:rPr>
        <w:t>Note, employers will need to use the correct appeals form identified by state.</w:t>
      </w:r>
    </w:p>
    <w:p>
      <w:pPr>
        <w:pStyle w:val="BodyText"/>
        <w:rPr>
          <w:sz w:val="28"/>
        </w:rPr>
      </w:pPr>
    </w:p>
    <w:p>
      <w:pPr>
        <w:pStyle w:val="BodyText"/>
        <w:spacing w:line="333" w:lineRule="auto"/>
        <w:ind w:left="564" w:right="656"/>
      </w:pPr>
      <w:r>
        <w:rPr>
          <w:color w:val="414042"/>
        </w:rPr>
        <w:t>An employer must either mail or fax an appeal request to FFM. The address and fax number are available on the form.</w:t>
      </w:r>
    </w:p>
    <w:p>
      <w:pPr>
        <w:pStyle w:val="BodyText"/>
        <w:rPr>
          <w:sz w:val="21"/>
        </w:rPr>
      </w:pPr>
    </w:p>
    <w:p>
      <w:pPr>
        <w:pStyle w:val="Heading1"/>
        <w:spacing w:before="1"/>
        <w:ind w:left="564"/>
      </w:pPr>
      <w:r>
        <w:rPr>
          <w:color w:val="2D5064"/>
        </w:rPr>
        <w:t>Q6. Is this a penalty assessment notice?</w:t>
      </w:r>
    </w:p>
    <w:p>
      <w:pPr>
        <w:pStyle w:val="BodyText"/>
        <w:spacing w:before="10"/>
        <w:rPr>
          <w:rFonts w:ascii="Constantia"/>
          <w:sz w:val="30"/>
        </w:rPr>
      </w:pPr>
    </w:p>
    <w:p>
      <w:pPr>
        <w:pStyle w:val="BodyText"/>
        <w:spacing w:line="333" w:lineRule="auto" w:before="1"/>
        <w:ind w:left="564" w:right="656"/>
      </w:pPr>
      <w:r>
        <w:rPr>
          <w:color w:val="414042"/>
        </w:rPr>
        <w:t>For applicable large employers, subject to the employer mandate, this is not a notice of a penalty assessment. Penalty assessment determinations are made by the Internal Revenue Service (“IRS”) in the year that follows the calendar year to which any assessment relates.</w:t>
      </w:r>
    </w:p>
    <w:p>
      <w:pPr>
        <w:pStyle w:val="BodyText"/>
        <w:spacing w:before="11"/>
        <w:rPr>
          <w:sz w:val="27"/>
        </w:rPr>
      </w:pPr>
    </w:p>
    <w:p>
      <w:pPr>
        <w:pStyle w:val="BodyText"/>
        <w:spacing w:line="333" w:lineRule="auto"/>
        <w:ind w:left="564" w:right="1067"/>
      </w:pPr>
      <w:r>
        <w:rPr>
          <w:color w:val="414042"/>
        </w:rPr>
        <w:t>However any applicable large employer that receives a notice from the FMM or a state Marketplace should</w:t>
      </w:r>
    </w:p>
    <w:p>
      <w:pPr>
        <w:pStyle w:val="BodyText"/>
        <w:spacing w:line="333" w:lineRule="auto"/>
        <w:ind w:left="564" w:right="656"/>
      </w:pPr>
      <w:r>
        <w:rPr>
          <w:color w:val="414042"/>
        </w:rPr>
        <w:t>carefully review current year records to determine whether the employee identified in the notice is an ACA full-time employee.</w:t>
      </w:r>
    </w:p>
    <w:p>
      <w:pPr>
        <w:spacing w:after="0" w:line="333" w:lineRule="auto"/>
        <w:sectPr>
          <w:type w:val="continuous"/>
          <w:pgSz w:w="12240" w:h="15840"/>
          <w:pgMar w:top="0" w:bottom="640" w:left="0" w:right="0"/>
          <w:cols w:num="2" w:equalWidth="0">
            <w:col w:w="5786" w:space="40"/>
            <w:col w:w="6414"/>
          </w:cols>
        </w:sectPr>
      </w:pPr>
    </w:p>
    <w:p>
      <w:pPr>
        <w:pStyle w:val="BodyText"/>
      </w:pPr>
    </w:p>
    <w:p>
      <w:pPr>
        <w:pStyle w:val="BodyText"/>
      </w:pPr>
    </w:p>
    <w:p>
      <w:pPr>
        <w:pStyle w:val="BodyText"/>
        <w:spacing w:before="5"/>
        <w:rPr>
          <w:sz w:val="16"/>
        </w:rPr>
      </w:pPr>
    </w:p>
    <w:p>
      <w:pPr>
        <w:pStyle w:val="Heading1"/>
        <w:spacing w:line="225" w:lineRule="auto" w:before="60"/>
        <w:ind w:right="6793"/>
      </w:pPr>
      <w:r>
        <w:rPr>
          <w:color w:val="2D5064"/>
        </w:rPr>
        <w:t>Q7.What about the appeals process for state-based Marketplaces?</w:t>
      </w:r>
    </w:p>
    <w:p>
      <w:pPr>
        <w:pStyle w:val="BodyText"/>
        <w:spacing w:before="2"/>
        <w:rPr>
          <w:rFonts w:ascii="Constantia"/>
          <w:sz w:val="31"/>
        </w:rPr>
      </w:pPr>
    </w:p>
    <w:p>
      <w:pPr>
        <w:pStyle w:val="BodyText"/>
        <w:spacing w:line="333" w:lineRule="auto"/>
        <w:ind w:left="720" w:right="6482"/>
      </w:pPr>
      <w:r>
        <w:rPr>
          <w:color w:val="414042"/>
        </w:rPr>
        <w:t>Some states, including California, Colorado, the District of Colombia, Maryland, Massachusetts, New York and Vermont, use the Federal appeals process.</w:t>
      </w:r>
    </w:p>
    <w:p>
      <w:pPr>
        <w:pStyle w:val="BodyText"/>
        <w:spacing w:before="10"/>
        <w:rPr>
          <w:sz w:val="27"/>
        </w:rPr>
      </w:pPr>
    </w:p>
    <w:p>
      <w:pPr>
        <w:pStyle w:val="BodyText"/>
        <w:spacing w:line="333" w:lineRule="auto" w:before="1"/>
        <w:ind w:left="720" w:right="5669"/>
      </w:pPr>
      <w:r>
        <w:rPr>
          <w:color w:val="414042"/>
        </w:rPr>
        <w:t>Other states, including Washington and Connecticut, have adopted their own appeals process.</w:t>
      </w:r>
    </w:p>
    <w:p>
      <w:pPr>
        <w:pStyle w:val="BodyText"/>
        <w:rPr>
          <w:sz w:val="21"/>
        </w:rPr>
      </w:pPr>
    </w:p>
    <w:p>
      <w:pPr>
        <w:pStyle w:val="Heading1"/>
      </w:pPr>
      <w:r>
        <w:rPr>
          <w:color w:val="2D5064"/>
        </w:rPr>
        <w:t>Q8. Where can I get more information?</w:t>
      </w:r>
    </w:p>
    <w:p>
      <w:pPr>
        <w:pStyle w:val="BodyText"/>
        <w:spacing w:before="11"/>
        <w:rPr>
          <w:rFonts w:ascii="Constantia"/>
          <w:sz w:val="30"/>
        </w:rPr>
      </w:pPr>
    </w:p>
    <w:p>
      <w:pPr>
        <w:pStyle w:val="BodyText"/>
        <w:ind w:left="720"/>
      </w:pPr>
      <w:r>
        <w:rPr>
          <w:color w:val="414042"/>
        </w:rPr>
        <w:t>For more information, visit:</w:t>
      </w:r>
    </w:p>
    <w:p>
      <w:pPr>
        <w:pStyle w:val="BodyText"/>
        <w:rPr>
          <w:sz w:val="22"/>
        </w:rPr>
      </w:pPr>
    </w:p>
    <w:p>
      <w:pPr>
        <w:pStyle w:val="ListParagraph"/>
        <w:numPr>
          <w:ilvl w:val="0"/>
          <w:numId w:val="1"/>
        </w:numPr>
        <w:tabs>
          <w:tab w:pos="1260" w:val="left" w:leader="none"/>
        </w:tabs>
        <w:spacing w:line="333" w:lineRule="auto" w:before="157" w:after="0"/>
        <w:ind w:left="1260" w:right="6782" w:hanging="270"/>
        <w:jc w:val="left"/>
        <w:rPr>
          <w:sz w:val="20"/>
        </w:rPr>
      </w:pPr>
      <w:r>
        <w:rPr>
          <w:color w:val="414042"/>
          <w:spacing w:val="-6"/>
          <w:sz w:val="20"/>
        </w:rPr>
        <w:t>FAQs </w:t>
      </w:r>
      <w:r>
        <w:rPr>
          <w:color w:val="414042"/>
          <w:sz w:val="20"/>
        </w:rPr>
        <w:t>on FFM notice process.</w:t>
      </w:r>
      <w:r>
        <w:rPr>
          <w:color w:val="405A6D"/>
          <w:sz w:val="20"/>
        </w:rPr>
        <w:t> </w:t>
      </w:r>
      <w:hyperlink r:id="rId9">
        <w:r>
          <w:rPr>
            <w:color w:val="405A6D"/>
            <w:sz w:val="20"/>
          </w:rPr>
          <w:t>https://www.cms.gov/CCIIO/Resources/Fact- </w:t>
        </w:r>
        <w:r>
          <w:rPr>
            <w:color w:val="405A6D"/>
            <w:spacing w:val="-2"/>
            <w:sz w:val="20"/>
          </w:rPr>
          <w:t>Sheets-and-FAQs/Downloads/Employer-Notice- </w:t>
        </w:r>
        <w:r>
          <w:rPr>
            <w:color w:val="405A6D"/>
            <w:spacing w:val="-3"/>
            <w:sz w:val="20"/>
          </w:rPr>
          <w:t>FAQ-9-18-15.pdf</w:t>
        </w:r>
      </w:hyperlink>
    </w:p>
    <w:p>
      <w:pPr>
        <w:pStyle w:val="BodyText"/>
        <w:spacing w:before="11"/>
        <w:rPr>
          <w:sz w:val="27"/>
        </w:rPr>
      </w:pPr>
    </w:p>
    <w:p>
      <w:pPr>
        <w:pStyle w:val="ListParagraph"/>
        <w:numPr>
          <w:ilvl w:val="0"/>
          <w:numId w:val="1"/>
        </w:numPr>
        <w:tabs>
          <w:tab w:pos="1260" w:val="left" w:leader="none"/>
        </w:tabs>
        <w:spacing w:line="333" w:lineRule="auto" w:before="0" w:after="0"/>
        <w:ind w:left="1260" w:right="6640" w:hanging="270"/>
        <w:jc w:val="left"/>
        <w:rPr>
          <w:sz w:val="20"/>
        </w:rPr>
      </w:pPr>
      <w:r>
        <w:rPr>
          <w:color w:val="414042"/>
          <w:sz w:val="20"/>
        </w:rPr>
        <w:t>How to appeal a Marketplace decision.</w:t>
      </w:r>
      <w:r>
        <w:rPr>
          <w:color w:val="2D5064"/>
          <w:sz w:val="20"/>
        </w:rPr>
        <w:t> </w:t>
      </w:r>
      <w:hyperlink r:id="rId10">
        <w:r>
          <w:rPr>
            <w:color w:val="2D5064"/>
            <w:spacing w:val="-1"/>
            <w:sz w:val="20"/>
          </w:rPr>
          <w:t>https://www.healthcare.gov/marketplace-appeals/</w:t>
        </w:r>
      </w:hyperlink>
    </w:p>
    <w:sectPr>
      <w:pgSz w:w="12240" w:h="15840"/>
      <w:pgMar w:header="0" w:footer="452" w:top="1320" w:bottom="6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nstantia">
    <w:altName w:val="Constant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5pt;margin-top:758.414001pt;width:524pt;height:17.95pt;mso-position-horizontal-relative:page;mso-position-vertical-relative:page;z-index:-5584" type="#_x0000_t202" filled="false" stroked="false">
          <v:textbox inset="0,0,0,0">
            <w:txbxContent>
              <w:p>
                <w:pPr>
                  <w:spacing w:line="312" w:lineRule="auto" w:before="19"/>
                  <w:ind w:left="20" w:right="15" w:firstLine="0"/>
                  <w:jc w:val="left"/>
                  <w:rPr>
                    <w:sz w:val="12"/>
                  </w:rPr>
                </w:pPr>
                <w:r>
                  <w:rPr>
                    <w:color w:val="9AA8A7"/>
                    <w:sz w:val="12"/>
                  </w:rPr>
                  <w:t>This</w:t>
                </w:r>
                <w:r>
                  <w:rPr>
                    <w:color w:val="9AA8A7"/>
                    <w:spacing w:val="-3"/>
                    <w:sz w:val="12"/>
                  </w:rPr>
                  <w:t> </w:t>
                </w:r>
                <w:r>
                  <w:rPr>
                    <w:color w:val="9AA8A7"/>
                    <w:sz w:val="12"/>
                  </w:rPr>
                  <w:t>document</w:t>
                </w:r>
                <w:r>
                  <w:rPr>
                    <w:color w:val="9AA8A7"/>
                    <w:spacing w:val="-2"/>
                    <w:sz w:val="12"/>
                  </w:rPr>
                  <w:t> </w:t>
                </w:r>
                <w:r>
                  <w:rPr>
                    <w:color w:val="9AA8A7"/>
                    <w:sz w:val="12"/>
                  </w:rPr>
                  <w:t>is</w:t>
                </w:r>
                <w:r>
                  <w:rPr>
                    <w:color w:val="9AA8A7"/>
                    <w:spacing w:val="-2"/>
                    <w:sz w:val="12"/>
                  </w:rPr>
                  <w:t> </w:t>
                </w:r>
                <w:r>
                  <w:rPr>
                    <w:color w:val="9AA8A7"/>
                    <w:sz w:val="12"/>
                  </w:rPr>
                  <w:t>designed</w:t>
                </w:r>
                <w:r>
                  <w:rPr>
                    <w:color w:val="9AA8A7"/>
                    <w:spacing w:val="-3"/>
                    <w:sz w:val="12"/>
                  </w:rPr>
                  <w:t> </w:t>
                </w:r>
                <w:r>
                  <w:rPr>
                    <w:color w:val="9AA8A7"/>
                    <w:sz w:val="12"/>
                  </w:rPr>
                  <w:t>to</w:t>
                </w:r>
                <w:r>
                  <w:rPr>
                    <w:color w:val="9AA8A7"/>
                    <w:spacing w:val="-2"/>
                    <w:sz w:val="12"/>
                  </w:rPr>
                  <w:t> </w:t>
                </w:r>
                <w:r>
                  <w:rPr>
                    <w:color w:val="9AA8A7"/>
                    <w:sz w:val="12"/>
                  </w:rPr>
                  <w:t>highlight</w:t>
                </w:r>
                <w:r>
                  <w:rPr>
                    <w:color w:val="9AA8A7"/>
                    <w:spacing w:val="-2"/>
                    <w:sz w:val="12"/>
                  </w:rPr>
                  <w:t> </w:t>
                </w:r>
                <w:r>
                  <w:rPr>
                    <w:color w:val="9AA8A7"/>
                    <w:sz w:val="12"/>
                  </w:rPr>
                  <w:t>various</w:t>
                </w:r>
                <w:r>
                  <w:rPr>
                    <w:color w:val="9AA8A7"/>
                    <w:spacing w:val="-3"/>
                    <w:sz w:val="12"/>
                  </w:rPr>
                  <w:t> </w:t>
                </w:r>
                <w:r>
                  <w:rPr>
                    <w:color w:val="9AA8A7"/>
                    <w:sz w:val="12"/>
                  </w:rPr>
                  <w:t>employee</w:t>
                </w:r>
                <w:r>
                  <w:rPr>
                    <w:color w:val="9AA8A7"/>
                    <w:spacing w:val="-2"/>
                    <w:sz w:val="12"/>
                  </w:rPr>
                  <w:t> </w:t>
                </w:r>
                <w:r>
                  <w:rPr>
                    <w:color w:val="9AA8A7"/>
                    <w:sz w:val="12"/>
                  </w:rPr>
                  <w:t>benefit</w:t>
                </w:r>
                <w:r>
                  <w:rPr>
                    <w:color w:val="9AA8A7"/>
                    <w:spacing w:val="-2"/>
                    <w:sz w:val="12"/>
                  </w:rPr>
                  <w:t> </w:t>
                </w:r>
                <w:r>
                  <w:rPr>
                    <w:color w:val="9AA8A7"/>
                    <w:sz w:val="12"/>
                  </w:rPr>
                  <w:t>matters</w:t>
                </w:r>
                <w:r>
                  <w:rPr>
                    <w:color w:val="9AA8A7"/>
                    <w:spacing w:val="-3"/>
                    <w:sz w:val="12"/>
                  </w:rPr>
                  <w:t> </w:t>
                </w:r>
                <w:r>
                  <w:rPr>
                    <w:color w:val="9AA8A7"/>
                    <w:sz w:val="12"/>
                  </w:rPr>
                  <w:t>of</w:t>
                </w:r>
                <w:r>
                  <w:rPr>
                    <w:color w:val="9AA8A7"/>
                    <w:spacing w:val="-2"/>
                    <w:sz w:val="12"/>
                  </w:rPr>
                  <w:t> </w:t>
                </w:r>
                <w:r>
                  <w:rPr>
                    <w:color w:val="9AA8A7"/>
                    <w:sz w:val="12"/>
                  </w:rPr>
                  <w:t>general</w:t>
                </w:r>
                <w:r>
                  <w:rPr>
                    <w:color w:val="9AA8A7"/>
                    <w:spacing w:val="-2"/>
                    <w:sz w:val="12"/>
                  </w:rPr>
                  <w:t> </w:t>
                </w:r>
                <w:r>
                  <w:rPr>
                    <w:color w:val="9AA8A7"/>
                    <w:sz w:val="12"/>
                  </w:rPr>
                  <w:t>interest</w:t>
                </w:r>
                <w:r>
                  <w:rPr>
                    <w:color w:val="9AA8A7"/>
                    <w:spacing w:val="-3"/>
                    <w:sz w:val="12"/>
                  </w:rPr>
                  <w:t> </w:t>
                </w:r>
                <w:r>
                  <w:rPr>
                    <w:color w:val="9AA8A7"/>
                    <w:sz w:val="12"/>
                  </w:rPr>
                  <w:t>to</w:t>
                </w:r>
                <w:r>
                  <w:rPr>
                    <w:color w:val="9AA8A7"/>
                    <w:spacing w:val="-2"/>
                    <w:sz w:val="12"/>
                  </w:rPr>
                  <w:t> </w:t>
                </w:r>
                <w:r>
                  <w:rPr>
                    <w:color w:val="9AA8A7"/>
                    <w:sz w:val="12"/>
                  </w:rPr>
                  <w:t>our</w:t>
                </w:r>
                <w:r>
                  <w:rPr>
                    <w:color w:val="9AA8A7"/>
                    <w:spacing w:val="-2"/>
                    <w:sz w:val="12"/>
                  </w:rPr>
                  <w:t> </w:t>
                </w:r>
                <w:r>
                  <w:rPr>
                    <w:color w:val="9AA8A7"/>
                    <w:sz w:val="12"/>
                  </w:rPr>
                  <w:t>readers.</w:t>
                </w:r>
                <w:r>
                  <w:rPr>
                    <w:color w:val="9AA8A7"/>
                    <w:spacing w:val="-10"/>
                    <w:sz w:val="12"/>
                  </w:rPr>
                  <w:t> </w:t>
                </w:r>
                <w:r>
                  <w:rPr>
                    <w:color w:val="9AA8A7"/>
                    <w:sz w:val="12"/>
                  </w:rPr>
                  <w:t>It</w:t>
                </w:r>
                <w:r>
                  <w:rPr>
                    <w:color w:val="9AA8A7"/>
                    <w:spacing w:val="-2"/>
                    <w:sz w:val="12"/>
                  </w:rPr>
                  <w:t> </w:t>
                </w:r>
                <w:r>
                  <w:rPr>
                    <w:color w:val="9AA8A7"/>
                    <w:sz w:val="12"/>
                  </w:rPr>
                  <w:t>is</w:t>
                </w:r>
                <w:r>
                  <w:rPr>
                    <w:color w:val="9AA8A7"/>
                    <w:spacing w:val="-3"/>
                    <w:sz w:val="12"/>
                  </w:rPr>
                  <w:t> </w:t>
                </w:r>
                <w:r>
                  <w:rPr>
                    <w:color w:val="9AA8A7"/>
                    <w:sz w:val="12"/>
                  </w:rPr>
                  <w:t>not</w:t>
                </w:r>
                <w:r>
                  <w:rPr>
                    <w:color w:val="9AA8A7"/>
                    <w:spacing w:val="-2"/>
                    <w:sz w:val="12"/>
                  </w:rPr>
                  <w:t> </w:t>
                </w:r>
                <w:r>
                  <w:rPr>
                    <w:color w:val="9AA8A7"/>
                    <w:sz w:val="12"/>
                  </w:rPr>
                  <w:t>intended</w:t>
                </w:r>
                <w:r>
                  <w:rPr>
                    <w:color w:val="9AA8A7"/>
                    <w:spacing w:val="-2"/>
                    <w:sz w:val="12"/>
                  </w:rPr>
                  <w:t> </w:t>
                </w:r>
                <w:r>
                  <w:rPr>
                    <w:color w:val="9AA8A7"/>
                    <w:sz w:val="12"/>
                  </w:rPr>
                  <w:t>to</w:t>
                </w:r>
                <w:r>
                  <w:rPr>
                    <w:color w:val="9AA8A7"/>
                    <w:spacing w:val="-3"/>
                    <w:sz w:val="12"/>
                  </w:rPr>
                  <w:t> </w:t>
                </w:r>
                <w:r>
                  <w:rPr>
                    <w:color w:val="9AA8A7"/>
                    <w:sz w:val="12"/>
                  </w:rPr>
                  <w:t>interpret</w:t>
                </w:r>
                <w:r>
                  <w:rPr>
                    <w:color w:val="9AA8A7"/>
                    <w:spacing w:val="-2"/>
                    <w:sz w:val="12"/>
                  </w:rPr>
                  <w:t> </w:t>
                </w:r>
                <w:r>
                  <w:rPr>
                    <w:color w:val="9AA8A7"/>
                    <w:sz w:val="12"/>
                  </w:rPr>
                  <w:t>laws</w:t>
                </w:r>
                <w:r>
                  <w:rPr>
                    <w:color w:val="9AA8A7"/>
                    <w:spacing w:val="-2"/>
                    <w:sz w:val="12"/>
                  </w:rPr>
                  <w:t> </w:t>
                </w:r>
                <w:r>
                  <w:rPr>
                    <w:color w:val="9AA8A7"/>
                    <w:sz w:val="12"/>
                  </w:rPr>
                  <w:t>or</w:t>
                </w:r>
                <w:r>
                  <w:rPr>
                    <w:color w:val="9AA8A7"/>
                    <w:spacing w:val="-3"/>
                    <w:sz w:val="12"/>
                  </w:rPr>
                  <w:t> </w:t>
                </w:r>
                <w:r>
                  <w:rPr>
                    <w:color w:val="9AA8A7"/>
                    <w:sz w:val="12"/>
                  </w:rPr>
                  <w:t>regulations,</w:t>
                </w:r>
                <w:r>
                  <w:rPr>
                    <w:color w:val="9AA8A7"/>
                    <w:spacing w:val="-2"/>
                    <w:sz w:val="12"/>
                  </w:rPr>
                  <w:t> </w:t>
                </w:r>
                <w:r>
                  <w:rPr>
                    <w:color w:val="9AA8A7"/>
                    <w:sz w:val="12"/>
                  </w:rPr>
                  <w:t>or</w:t>
                </w:r>
                <w:r>
                  <w:rPr>
                    <w:color w:val="9AA8A7"/>
                    <w:spacing w:val="-2"/>
                    <w:sz w:val="12"/>
                  </w:rPr>
                  <w:t> </w:t>
                </w:r>
                <w:r>
                  <w:rPr>
                    <w:color w:val="9AA8A7"/>
                    <w:sz w:val="12"/>
                  </w:rPr>
                  <w:t>to</w:t>
                </w:r>
                <w:r>
                  <w:rPr>
                    <w:color w:val="9AA8A7"/>
                    <w:spacing w:val="-3"/>
                    <w:sz w:val="12"/>
                  </w:rPr>
                  <w:t> </w:t>
                </w:r>
                <w:r>
                  <w:rPr>
                    <w:color w:val="9AA8A7"/>
                    <w:sz w:val="12"/>
                  </w:rPr>
                  <w:t>address</w:t>
                </w:r>
                <w:r>
                  <w:rPr>
                    <w:color w:val="9AA8A7"/>
                    <w:spacing w:val="-2"/>
                    <w:sz w:val="12"/>
                  </w:rPr>
                  <w:t> </w:t>
                </w:r>
                <w:r>
                  <w:rPr>
                    <w:color w:val="9AA8A7"/>
                    <w:sz w:val="12"/>
                  </w:rPr>
                  <w:t>specific</w:t>
                </w:r>
                <w:r>
                  <w:rPr>
                    <w:color w:val="9AA8A7"/>
                    <w:spacing w:val="-2"/>
                    <w:sz w:val="12"/>
                  </w:rPr>
                  <w:t> </w:t>
                </w:r>
                <w:r>
                  <w:rPr>
                    <w:color w:val="9AA8A7"/>
                    <w:sz w:val="12"/>
                  </w:rPr>
                  <w:t>client</w:t>
                </w:r>
                <w:r>
                  <w:rPr>
                    <w:color w:val="9AA8A7"/>
                    <w:spacing w:val="-3"/>
                    <w:sz w:val="12"/>
                  </w:rPr>
                  <w:t> </w:t>
                </w:r>
                <w:r>
                  <w:rPr>
                    <w:color w:val="9AA8A7"/>
                    <w:sz w:val="12"/>
                  </w:rPr>
                  <w:t>situations.</w:t>
                </w:r>
                <w:r>
                  <w:rPr>
                    <w:color w:val="9AA8A7"/>
                    <w:spacing w:val="-19"/>
                    <w:sz w:val="12"/>
                  </w:rPr>
                  <w:t> </w:t>
                </w:r>
                <w:r>
                  <w:rPr>
                    <w:color w:val="9AA8A7"/>
                    <w:spacing w:val="-6"/>
                    <w:sz w:val="12"/>
                  </w:rPr>
                  <w:t>You </w:t>
                </w:r>
                <w:r>
                  <w:rPr>
                    <w:color w:val="9AA8A7"/>
                    <w:sz w:val="12"/>
                  </w:rPr>
                  <w:t>should not act or rely on any information contained herein without seeking the advice of an attorney or tax</w:t>
                </w:r>
                <w:r>
                  <w:rPr>
                    <w:color w:val="9AA8A7"/>
                    <w:spacing w:val="-5"/>
                    <w:sz w:val="12"/>
                  </w:rPr>
                  <w:t> </w:t>
                </w:r>
                <w:r>
                  <w:rPr>
                    <w:color w:val="9AA8A7"/>
                    <w:sz w:val="12"/>
                  </w:rPr>
                  <w:t>professional.</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0pt;width:612pt;height:66pt;mso-position-horizontal-relative:page;mso-position-vertical-relative:page;z-index:-5560" filled="true" fillcolor="#f5f6f5" stroked="false">
          <v:fill type="solid"/>
          <w10:wrap type="none"/>
        </v:rect>
      </w:pict>
    </w:r>
    <w:r>
      <w:rPr/>
      <w:pict>
        <v:shape style="position:absolute;margin-left:35pt;margin-top:27.621pt;width:187.7pt;height:12.45pt;mso-position-horizontal-relative:page;mso-position-vertical-relative:page;z-index:-5536" type="#_x0000_t202" filled="false" stroked="false">
          <v:textbox inset="0,0,0,0">
            <w:txbxContent>
              <w:p>
                <w:pPr>
                  <w:spacing w:before="18"/>
                  <w:ind w:left="20" w:right="0" w:firstLine="0"/>
                  <w:jc w:val="left"/>
                  <w:rPr>
                    <w:sz w:val="18"/>
                  </w:rPr>
                </w:pPr>
                <w:r>
                  <w:rPr>
                    <w:color w:val="2D5064"/>
                    <w:sz w:val="18"/>
                  </w:rPr>
                  <w:t>Notice of Subsidies in the Federal Marketplace</w:t>
                </w:r>
              </w:p>
            </w:txbxContent>
          </v:textbox>
          <w10:wrap type="none"/>
        </v:shape>
      </w:pict>
    </w:r>
    <w:r>
      <w:rPr/>
      <w:pict>
        <v:shape style="position:absolute;margin-left:440.494995pt;margin-top:27.621pt;width:137.550pt;height:12.45pt;mso-position-horizontal-relative:page;mso-position-vertical-relative:page;z-index:-5512" type="#_x0000_t202" filled="false" stroked="false">
          <v:textbox inset="0,0,0,0">
            <w:txbxContent>
              <w:p>
                <w:pPr>
                  <w:spacing w:before="18"/>
                  <w:ind w:left="20" w:right="0" w:firstLine="0"/>
                  <w:jc w:val="left"/>
                  <w:rPr>
                    <w:sz w:val="18"/>
                  </w:rPr>
                </w:pPr>
                <w:r>
                  <w:rPr>
                    <w:color w:val="878F9E"/>
                    <w:sz w:val="18"/>
                  </w:rPr>
                  <w:t>Published: June </w:t>
                </w:r>
                <w:r>
                  <w:rPr>
                    <w:color w:val="878F9E"/>
                    <w:spacing w:val="-3"/>
                    <w:sz w:val="18"/>
                  </w:rPr>
                  <w:t>16, </w:t>
                </w:r>
                <w:r>
                  <w:rPr>
                    <w:color w:val="878F9E"/>
                    <w:spacing w:val="-6"/>
                    <w:sz w:val="18"/>
                  </w:rPr>
                  <w:t>2016 </w:t>
                </w:r>
                <w:r>
                  <w:rPr>
                    <w:color w:val="2D5064"/>
                    <w:sz w:val="18"/>
                  </w:rPr>
                  <w:t>| </w:t>
                </w:r>
                <w:r>
                  <w:rPr>
                    <w:color w:val="878F9E"/>
                    <w:sz w:val="18"/>
                  </w:rPr>
                  <w:t>Page </w:t>
                </w:r>
                <w:r>
                  <w:rPr/>
                  <w:fldChar w:fldCharType="begin"/>
                </w:r>
                <w:r>
                  <w:rPr>
                    <w:color w:val="878F9E"/>
                    <w:sz w:val="18"/>
                  </w:rPr>
                  <w:instrText> PAGE </w:instrText>
                </w:r>
                <w:r>
                  <w:rPr/>
                  <w:fldChar w:fldCharType="separate"/>
                </w:r>
                <w:r>
                  <w:rPr/>
                  <w:t>2</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260" w:hanging="270"/>
      </w:pPr>
      <w:rPr>
        <w:rFonts w:hint="default" w:ascii="Arial" w:hAnsi="Arial" w:eastAsia="Arial" w:cs="Arial"/>
        <w:color w:val="2D5064"/>
        <w:w w:val="99"/>
        <w:sz w:val="20"/>
        <w:szCs w:val="20"/>
      </w:rPr>
    </w:lvl>
    <w:lvl w:ilvl="1">
      <w:start w:val="0"/>
      <w:numFmt w:val="bullet"/>
      <w:lvlText w:val="•"/>
      <w:lvlJc w:val="left"/>
      <w:pPr>
        <w:ind w:left="2358" w:hanging="270"/>
      </w:pPr>
      <w:rPr>
        <w:rFonts w:hint="default"/>
      </w:rPr>
    </w:lvl>
    <w:lvl w:ilvl="2">
      <w:start w:val="0"/>
      <w:numFmt w:val="bullet"/>
      <w:lvlText w:val="•"/>
      <w:lvlJc w:val="left"/>
      <w:pPr>
        <w:ind w:left="3456" w:hanging="270"/>
      </w:pPr>
      <w:rPr>
        <w:rFonts w:hint="default"/>
      </w:rPr>
    </w:lvl>
    <w:lvl w:ilvl="3">
      <w:start w:val="0"/>
      <w:numFmt w:val="bullet"/>
      <w:lvlText w:val="•"/>
      <w:lvlJc w:val="left"/>
      <w:pPr>
        <w:ind w:left="4554" w:hanging="270"/>
      </w:pPr>
      <w:rPr>
        <w:rFonts w:hint="default"/>
      </w:rPr>
    </w:lvl>
    <w:lvl w:ilvl="4">
      <w:start w:val="0"/>
      <w:numFmt w:val="bullet"/>
      <w:lvlText w:val="•"/>
      <w:lvlJc w:val="left"/>
      <w:pPr>
        <w:ind w:left="5652" w:hanging="270"/>
      </w:pPr>
      <w:rPr>
        <w:rFonts w:hint="default"/>
      </w:rPr>
    </w:lvl>
    <w:lvl w:ilvl="5">
      <w:start w:val="0"/>
      <w:numFmt w:val="bullet"/>
      <w:lvlText w:val="•"/>
      <w:lvlJc w:val="left"/>
      <w:pPr>
        <w:ind w:left="6750" w:hanging="270"/>
      </w:pPr>
      <w:rPr>
        <w:rFonts w:hint="default"/>
      </w:rPr>
    </w:lvl>
    <w:lvl w:ilvl="6">
      <w:start w:val="0"/>
      <w:numFmt w:val="bullet"/>
      <w:lvlText w:val="•"/>
      <w:lvlJc w:val="left"/>
      <w:pPr>
        <w:ind w:left="7848" w:hanging="270"/>
      </w:pPr>
      <w:rPr>
        <w:rFonts w:hint="default"/>
      </w:rPr>
    </w:lvl>
    <w:lvl w:ilvl="7">
      <w:start w:val="0"/>
      <w:numFmt w:val="bullet"/>
      <w:lvlText w:val="•"/>
      <w:lvlJc w:val="left"/>
      <w:pPr>
        <w:ind w:left="8946" w:hanging="270"/>
      </w:pPr>
      <w:rPr>
        <w:rFonts w:hint="default"/>
      </w:rPr>
    </w:lvl>
    <w:lvl w:ilvl="8">
      <w:start w:val="0"/>
      <w:numFmt w:val="bullet"/>
      <w:lvlText w:val="•"/>
      <w:lvlJc w:val="left"/>
      <w:pPr>
        <w:ind w:left="10044" w:hanging="27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720"/>
      <w:outlineLvl w:val="1"/>
    </w:pPr>
    <w:rPr>
      <w:rFonts w:ascii="Constantia" w:hAnsi="Constantia" w:eastAsia="Constantia" w:cs="Constantia"/>
      <w:sz w:val="28"/>
      <w:szCs w:val="28"/>
    </w:rPr>
  </w:style>
  <w:style w:styleId="ListParagraph" w:type="paragraph">
    <w:name w:val="List Paragraph"/>
    <w:basedOn w:val="Normal"/>
    <w:uiPriority w:val="1"/>
    <w:qFormat/>
    <w:pPr>
      <w:ind w:left="1260" w:hanging="2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yperlink" Target="https://www.healthcare.gov/downloads/marketplace-employer-appeal-form.pdf" TargetMode="External"/><Relationship Id="rId9" Type="http://schemas.openxmlformats.org/officeDocument/2006/relationships/hyperlink" Target="https://www.cms.gov/CCIIO/Resources/Fact-Sheets-and-FAQs/Downloads/Employer-Notice-FAQ-9-18-15.pdf" TargetMode="External"/><Relationship Id="rId10" Type="http://schemas.openxmlformats.org/officeDocument/2006/relationships/hyperlink" Target="https://www.healthcare.gov/marketplace-appeals/" TargetMode="External"/><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2019-03-06T16:04:54Z</dcterms:created>
  <dcterms:modified xsi:type="dcterms:W3CDTF">2019-03-06T16:04:54Z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Adobe InDesign CC (Windows)</vt:lpwstr>
  </property>
  <property fmtid="{D5CDD505-2E9C-101B-9397-08002B2CF9AE}" pid="4" name="LastSaved">
    <vt:filetime>2019-03-06T00:00:00Z</vt:filetime>
  </property>
</Properties>
</file>