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0pt;width:612pt;height:476.25pt;mso-position-horizontal-relative:page;mso-position-vertical-relative:page;z-index:-3976" coordorigin="0,0" coordsize="12240,9525">
            <v:shape style="position:absolute;left:0;top:0;width:12240;height:6760" type="#_x0000_t75" stroked="false">
              <v:imagedata r:id="rId6" o:title=""/>
            </v:shape>
            <v:shape style="position:absolute;left:0;top:6760;width:12240;height:2765" coordorigin="0,6760" coordsize="12240,2765" path="m1240,9005l720,9005,720,9525,1240,9005xm12240,6760l0,6760,0,9005,12240,9005,12240,6760xe" filled="true" fillcolor="#f0f1ef" stroked="false">
              <v:path arrowok="t"/>
              <v:fill type="solid"/>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
        <w:rPr>
          <w:rFonts w:ascii="Times New Roman"/>
          <w:sz w:val="29"/>
        </w:rPr>
      </w:pPr>
    </w:p>
    <w:p>
      <w:pPr>
        <w:spacing w:before="99"/>
        <w:ind w:left="100" w:right="0" w:firstLine="0"/>
        <w:jc w:val="left"/>
        <w:rPr>
          <w:sz w:val="16"/>
        </w:rPr>
      </w:pPr>
      <w:r>
        <w:rPr>
          <w:color w:val="75736A"/>
          <w:sz w:val="16"/>
        </w:rPr>
        <w:t>Published: January 29, 2019</w:t>
      </w:r>
    </w:p>
    <w:p>
      <w:pPr>
        <w:pStyle w:val="Heading1"/>
        <w:spacing w:before="3"/>
      </w:pPr>
      <w:r>
        <w:rPr>
          <w:color w:val="2D5064"/>
        </w:rPr>
        <w:t>New Jersey Updates</w:t>
      </w:r>
    </w:p>
    <w:p>
      <w:pPr>
        <w:spacing w:line="557" w:lineRule="exact" w:before="0"/>
        <w:ind w:left="100" w:right="0" w:firstLine="0"/>
        <w:jc w:val="left"/>
        <w:rPr>
          <w:rFonts w:ascii="Constantia"/>
          <w:sz w:val="46"/>
        </w:rPr>
      </w:pPr>
      <w:r>
        <w:rPr>
          <w:rFonts w:ascii="Constantia"/>
          <w:color w:val="2D5064"/>
          <w:sz w:val="46"/>
        </w:rPr>
        <w:t>2019 Individual Mandate Employer Reporting</w:t>
      </w:r>
    </w:p>
    <w:p>
      <w:pPr>
        <w:pStyle w:val="BodyText"/>
        <w:spacing w:before="127"/>
        <w:ind w:left="127"/>
        <w:rPr>
          <w:rFonts w:ascii="Helvetica"/>
        </w:rPr>
      </w:pPr>
      <w:r>
        <w:rPr>
          <w:rFonts w:ascii="Helvetica"/>
          <w:color w:val="414042"/>
        </w:rPr>
        <w:t>Eric Raymond | The Raymond Organization | (215) 990-0024 | </w:t>
      </w:r>
      <w:hyperlink r:id="rId7">
        <w:r>
          <w:rPr>
            <w:rFonts w:ascii="Helvetica"/>
            <w:color w:val="414042"/>
          </w:rPr>
          <w:t>eric.raymond@theraymondorganization.com</w:t>
        </w:r>
      </w:hyperlink>
    </w:p>
    <w:p>
      <w:pPr>
        <w:pStyle w:val="BodyText"/>
        <w:rPr>
          <w:rFonts w:ascii="Helvetica"/>
        </w:rPr>
      </w:pPr>
    </w:p>
    <w:p>
      <w:pPr>
        <w:pStyle w:val="BodyText"/>
        <w:rPr>
          <w:rFonts w:ascii="Helvetica"/>
        </w:rPr>
      </w:pPr>
    </w:p>
    <w:p>
      <w:pPr>
        <w:pStyle w:val="BodyText"/>
        <w:rPr>
          <w:rFonts w:ascii="Helvetica"/>
        </w:rPr>
      </w:pPr>
    </w:p>
    <w:p>
      <w:pPr>
        <w:pStyle w:val="BodyText"/>
        <w:spacing w:before="8"/>
        <w:rPr>
          <w:rFonts w:ascii="Helvetica"/>
          <w:sz w:val="16"/>
        </w:rPr>
      </w:pPr>
    </w:p>
    <w:p>
      <w:pPr>
        <w:pStyle w:val="BodyText"/>
        <w:spacing w:line="333" w:lineRule="auto" w:before="98"/>
        <w:ind w:left="100" w:right="128"/>
      </w:pPr>
      <w:r>
        <w:rPr>
          <w:color w:val="414042"/>
        </w:rPr>
        <w:t>The state of New Jersey has posted information related to employer reporting under New </w:t>
      </w:r>
      <w:r>
        <w:rPr>
          <w:color w:val="414042"/>
          <w:spacing w:val="-3"/>
        </w:rPr>
        <w:t>Jersey’s </w:t>
      </w:r>
      <w:r>
        <w:rPr>
          <w:color w:val="414042"/>
        </w:rPr>
        <w:t>individual health insurance mandate that went into </w:t>
      </w:r>
      <w:r>
        <w:rPr>
          <w:color w:val="414042"/>
          <w:spacing w:val="-3"/>
        </w:rPr>
        <w:t>effect </w:t>
      </w:r>
      <w:r>
        <w:rPr>
          <w:color w:val="414042"/>
        </w:rPr>
        <w:t>January 1, </w:t>
      </w:r>
      <w:r>
        <w:rPr>
          <w:color w:val="414042"/>
          <w:spacing w:val="-5"/>
        </w:rPr>
        <w:t>2019. </w:t>
      </w:r>
      <w:r>
        <w:rPr>
          <w:color w:val="414042"/>
          <w:spacing w:val="-3"/>
        </w:rPr>
        <w:t>Initially, </w:t>
      </w:r>
      <w:r>
        <w:rPr>
          <w:color w:val="414042"/>
        </w:rPr>
        <w:t>starting in early 2020 and relating back to </w:t>
      </w:r>
      <w:r>
        <w:rPr>
          <w:color w:val="414042"/>
          <w:spacing w:val="-5"/>
        </w:rPr>
        <w:t>2019, </w:t>
      </w:r>
      <w:r>
        <w:rPr>
          <w:color w:val="414042"/>
          <w:spacing w:val="-3"/>
        </w:rPr>
        <w:t>certain </w:t>
      </w:r>
      <w:r>
        <w:rPr>
          <w:color w:val="414042"/>
        </w:rPr>
        <w:t>employers with New Jersey employees must remit to the state the same Forms 1095-C and 1094-C provided to the Internal </w:t>
      </w:r>
      <w:r>
        <w:rPr>
          <w:color w:val="414042"/>
          <w:spacing w:val="-3"/>
        </w:rPr>
        <w:t>Revenue </w:t>
      </w:r>
      <w:r>
        <w:rPr>
          <w:color w:val="414042"/>
        </w:rPr>
        <w:t>Service (IRS) for </w:t>
      </w:r>
      <w:r>
        <w:rPr>
          <w:color w:val="414042"/>
          <w:spacing w:val="-5"/>
        </w:rPr>
        <w:t>2019.</w:t>
      </w:r>
    </w:p>
    <w:p>
      <w:pPr>
        <w:pStyle w:val="BodyText"/>
        <w:spacing w:before="1"/>
        <w:rPr>
          <w:sz w:val="21"/>
        </w:rPr>
      </w:pPr>
    </w:p>
    <w:p>
      <w:pPr>
        <w:pStyle w:val="Heading2"/>
      </w:pPr>
      <w:r>
        <w:rPr>
          <w:color w:val="2D5064"/>
        </w:rPr>
        <w:t>Background</w:t>
      </w:r>
    </w:p>
    <w:p>
      <w:pPr>
        <w:pStyle w:val="BodyText"/>
        <w:spacing w:before="11"/>
        <w:rPr>
          <w:rFonts w:ascii="Constantia"/>
          <w:sz w:val="30"/>
        </w:rPr>
      </w:pPr>
    </w:p>
    <w:p>
      <w:pPr>
        <w:pStyle w:val="BodyText"/>
        <w:spacing w:line="333" w:lineRule="auto"/>
        <w:ind w:left="100" w:right="128"/>
      </w:pPr>
      <w:r>
        <w:rPr>
          <w:color w:val="414042"/>
        </w:rPr>
        <w:t>The New Jersey Health Insurance Market Preservation Act (the “NJ Act”) requires most New Jersey residents to </w:t>
      </w:r>
      <w:r>
        <w:rPr>
          <w:color w:val="414042"/>
          <w:spacing w:val="-3"/>
        </w:rPr>
        <w:t>maintain </w:t>
      </w:r>
      <w:r>
        <w:rPr>
          <w:color w:val="414042"/>
        </w:rPr>
        <w:t>health insurance, starting January 1, </w:t>
      </w:r>
      <w:r>
        <w:rPr>
          <w:color w:val="414042"/>
          <w:spacing w:val="-5"/>
        </w:rPr>
        <w:t>2019. </w:t>
      </w:r>
      <w:r>
        <w:rPr>
          <w:color w:val="414042"/>
          <w:spacing w:val="-3"/>
        </w:rPr>
        <w:t>Failure </w:t>
      </w:r>
      <w:r>
        <w:rPr>
          <w:color w:val="414042"/>
        </w:rPr>
        <w:t>to do </w:t>
      </w:r>
      <w:r>
        <w:rPr>
          <w:color w:val="414042"/>
          <w:spacing w:val="-3"/>
        </w:rPr>
        <w:t>so, </w:t>
      </w:r>
      <w:r>
        <w:rPr>
          <w:color w:val="414042"/>
        </w:rPr>
        <w:t>absent an exemption, will result in an individual penalty imposed by the state when a person files his or her </w:t>
      </w:r>
      <w:r>
        <w:rPr>
          <w:color w:val="414042"/>
          <w:spacing w:val="-6"/>
        </w:rPr>
        <w:t>2019 </w:t>
      </w:r>
      <w:r>
        <w:rPr>
          <w:color w:val="414042"/>
        </w:rPr>
        <w:t>New Jersey Income </w:t>
      </w:r>
      <w:r>
        <w:rPr>
          <w:color w:val="414042"/>
          <w:spacing w:val="-8"/>
        </w:rPr>
        <w:t>Tax </w:t>
      </w:r>
      <w:r>
        <w:rPr>
          <w:color w:val="414042"/>
        </w:rPr>
        <w:t>return. This New Jersey individual insurance mandate essentially replaces the individual mandate imposed under the </w:t>
      </w:r>
      <w:r>
        <w:rPr>
          <w:color w:val="414042"/>
          <w:spacing w:val="-3"/>
        </w:rPr>
        <w:t>Affordable Care </w:t>
      </w:r>
      <w:r>
        <w:rPr>
          <w:color w:val="414042"/>
        </w:rPr>
        <w:t>Act </w:t>
      </w:r>
      <w:r>
        <w:rPr>
          <w:color w:val="414042"/>
          <w:spacing w:val="-3"/>
        </w:rPr>
        <w:t>(ACA), </w:t>
      </w:r>
      <w:r>
        <w:rPr>
          <w:color w:val="414042"/>
        </w:rPr>
        <w:t>which was </w:t>
      </w:r>
      <w:r>
        <w:rPr>
          <w:color w:val="414042"/>
          <w:spacing w:val="-3"/>
        </w:rPr>
        <w:t>effectively </w:t>
      </w:r>
      <w:r>
        <w:rPr>
          <w:color w:val="414042"/>
        </w:rPr>
        <w:t>eliminated starting in </w:t>
      </w:r>
      <w:r>
        <w:rPr>
          <w:color w:val="414042"/>
          <w:spacing w:val="-6"/>
        </w:rPr>
        <w:t>2019 </w:t>
      </w:r>
      <w:r>
        <w:rPr>
          <w:color w:val="414042"/>
        </w:rPr>
        <w:t>under the </w:t>
      </w:r>
      <w:r>
        <w:rPr>
          <w:color w:val="414042"/>
          <w:spacing w:val="-8"/>
        </w:rPr>
        <w:t>Tax </w:t>
      </w:r>
      <w:r>
        <w:rPr>
          <w:color w:val="414042"/>
        </w:rPr>
        <w:t>Cuts and Jobs Act.</w:t>
      </w:r>
    </w:p>
    <w:p>
      <w:pPr>
        <w:pStyle w:val="BodyText"/>
        <w:rPr>
          <w:sz w:val="28"/>
        </w:rPr>
      </w:pPr>
    </w:p>
    <w:p>
      <w:pPr>
        <w:pStyle w:val="BodyText"/>
        <w:spacing w:line="333" w:lineRule="auto"/>
        <w:ind w:left="100" w:right="170"/>
      </w:pPr>
      <w:r>
        <w:rPr>
          <w:color w:val="414042"/>
        </w:rPr>
        <w:t>As with the ACA, the NJ Act requires certain employers and insurance carriers to report to covered individuals and to the state in affirming that such individuals had actual health coverage in a calendar year.</w:t>
      </w:r>
    </w:p>
    <w:p>
      <w:pPr>
        <w:spacing w:after="0" w:line="333" w:lineRule="auto"/>
        <w:sectPr>
          <w:footerReference w:type="default" r:id="rId5"/>
          <w:type w:val="continuous"/>
          <w:pgSz w:w="12240" w:h="15840"/>
          <w:pgMar w:footer="452" w:top="0" w:bottom="640" w:left="620" w:right="68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spacing w:after="0"/>
        <w:sectPr>
          <w:pgSz w:w="12240" w:h="15840"/>
          <w:pgMar w:header="0" w:footer="452" w:top="0" w:bottom="640" w:left="620" w:right="680"/>
        </w:sectPr>
      </w:pPr>
    </w:p>
    <w:p>
      <w:pPr>
        <w:pStyle w:val="Heading2"/>
        <w:spacing w:before="173"/>
      </w:pPr>
      <w:r>
        <w:rPr/>
        <w:pict>
          <v:group style="position:absolute;margin-left:0pt;margin-top:0pt;width:612pt;height:66pt;mso-position-horizontal-relative:page;mso-position-vertical-relative:page;z-index:-3904" coordorigin="0,0" coordsize="12240,1320">
            <v:rect style="position:absolute;left:0;top:0;width:12240;height:1320" filled="true" fillcolor="#f5f6f5" stroked="false">
              <v:fill type="solid"/>
            </v:rect>
            <v:shape style="position:absolute;left:720;top:572;width:5287;height:209" type="#_x0000_t202" filled="false" stroked="false">
              <v:textbox inset="0,0,0,0">
                <w:txbxContent>
                  <w:p>
                    <w:pPr>
                      <w:spacing w:line="206" w:lineRule="exact" w:before="0"/>
                      <w:ind w:left="0" w:right="0" w:firstLine="0"/>
                      <w:jc w:val="left"/>
                      <w:rPr>
                        <w:sz w:val="18"/>
                      </w:rPr>
                    </w:pPr>
                    <w:r>
                      <w:rPr>
                        <w:color w:val="2D5064"/>
                        <w:sz w:val="18"/>
                      </w:rPr>
                      <w:t>New Jersey Updates </w:t>
                    </w:r>
                    <w:r>
                      <w:rPr>
                        <w:color w:val="2D5064"/>
                        <w:spacing w:val="-6"/>
                        <w:sz w:val="18"/>
                      </w:rPr>
                      <w:t>2019 </w:t>
                    </w:r>
                    <w:r>
                      <w:rPr>
                        <w:color w:val="2D5064"/>
                        <w:sz w:val="18"/>
                      </w:rPr>
                      <w:t>Individual Mandate Employer Reporting</w:t>
                    </w:r>
                  </w:p>
                </w:txbxContent>
              </v:textbox>
              <w10:wrap type="none"/>
            </v:shape>
            <v:shape style="position:absolute;left:8569;top:572;width:2971;height:209" type="#_x0000_t202" filled="false" stroked="false">
              <v:textbox inset="0,0,0,0">
                <w:txbxContent>
                  <w:p>
                    <w:pPr>
                      <w:spacing w:line="206" w:lineRule="exact" w:before="0"/>
                      <w:ind w:left="0" w:right="0" w:firstLine="0"/>
                      <w:jc w:val="left"/>
                      <w:rPr>
                        <w:sz w:val="18"/>
                      </w:rPr>
                    </w:pPr>
                    <w:r>
                      <w:rPr>
                        <w:color w:val="878F9E"/>
                        <w:sz w:val="18"/>
                      </w:rPr>
                      <w:t>Published: January 29, </w:t>
                    </w:r>
                    <w:r>
                      <w:rPr>
                        <w:color w:val="878F9E"/>
                        <w:spacing w:val="-6"/>
                        <w:sz w:val="18"/>
                      </w:rPr>
                      <w:t>2019 </w:t>
                    </w:r>
                    <w:r>
                      <w:rPr>
                        <w:color w:val="2D5064"/>
                        <w:sz w:val="18"/>
                      </w:rPr>
                      <w:t>| </w:t>
                    </w:r>
                    <w:r>
                      <w:rPr>
                        <w:color w:val="878F9E"/>
                        <w:sz w:val="18"/>
                      </w:rPr>
                      <w:t>Page 2</w:t>
                    </w:r>
                  </w:p>
                </w:txbxContent>
              </v:textbox>
              <w10:wrap type="none"/>
            </v:shape>
            <w10:wrap type="none"/>
          </v:group>
        </w:pict>
      </w:r>
      <w:r>
        <w:rPr>
          <w:color w:val="2D5064"/>
        </w:rPr>
        <w:t>What’s New</w:t>
      </w:r>
    </w:p>
    <w:p>
      <w:pPr>
        <w:pStyle w:val="BodyText"/>
        <w:spacing w:before="11"/>
        <w:rPr>
          <w:rFonts w:ascii="Constantia"/>
          <w:sz w:val="30"/>
        </w:rPr>
      </w:pPr>
    </w:p>
    <w:p>
      <w:pPr>
        <w:pStyle w:val="BodyText"/>
        <w:spacing w:line="333" w:lineRule="auto"/>
        <w:ind w:left="100" w:right="12"/>
      </w:pPr>
      <w:r>
        <w:rPr>
          <w:color w:val="414042"/>
        </w:rPr>
        <w:t>Recently, the state of New Jersey updated its “Information for Employers” website with respect to the New Jersey Health Insurance Mandate. Notably, beginning with CY 2019, employers must provide the same Forms 1094-C and 1095-C to the state of New Jersey as they provide</w:t>
      </w:r>
    </w:p>
    <w:p>
      <w:pPr>
        <w:pStyle w:val="BodyText"/>
        <w:spacing w:line="333" w:lineRule="auto" w:before="2"/>
        <w:ind w:left="100" w:right="342"/>
      </w:pPr>
      <w:r>
        <w:rPr>
          <w:color w:val="414042"/>
        </w:rPr>
        <w:t>to employees (and perhaps other individuals</w:t>
      </w:r>
      <w:r>
        <w:rPr>
          <w:color w:val="414042"/>
          <w:spacing w:val="-31"/>
        </w:rPr>
        <w:t> </w:t>
      </w:r>
      <w:r>
        <w:rPr>
          <w:color w:val="414042"/>
        </w:rPr>
        <w:t>otherwise covered under an employer-sponsored plan) and to the Internal </w:t>
      </w:r>
      <w:r>
        <w:rPr>
          <w:color w:val="414042"/>
          <w:spacing w:val="-3"/>
        </w:rPr>
        <w:t>Revenue </w:t>
      </w:r>
      <w:r>
        <w:rPr>
          <w:color w:val="414042"/>
        </w:rPr>
        <w:t>Service (IRS) under the</w:t>
      </w:r>
      <w:r>
        <w:rPr>
          <w:color w:val="414042"/>
          <w:spacing w:val="-2"/>
        </w:rPr>
        <w:t> </w:t>
      </w:r>
      <w:r>
        <w:rPr>
          <w:color w:val="414042"/>
          <w:spacing w:val="-4"/>
        </w:rPr>
        <w:t>ACA.</w:t>
      </w:r>
    </w:p>
    <w:p>
      <w:pPr>
        <w:pStyle w:val="BodyText"/>
        <w:spacing w:line="333" w:lineRule="auto" w:before="1"/>
        <w:ind w:left="100"/>
      </w:pPr>
      <w:r>
        <w:rPr>
          <w:color w:val="414042"/>
        </w:rPr>
        <w:t>The Forms are to be sent to the New Jersey Division of Taxation by February 15, 2020. This deadline actually precedes the general deadline by which such Forms need to be filed with the IRS under the ACA.</w:t>
      </w:r>
    </w:p>
    <w:p>
      <w:pPr>
        <w:pStyle w:val="BodyText"/>
        <w:spacing w:before="11"/>
        <w:rPr>
          <w:sz w:val="27"/>
        </w:rPr>
      </w:pPr>
    </w:p>
    <w:p>
      <w:pPr>
        <w:pStyle w:val="BodyText"/>
        <w:spacing w:line="333" w:lineRule="auto"/>
        <w:ind w:left="100"/>
      </w:pPr>
      <w:r>
        <w:rPr>
          <w:color w:val="414042"/>
        </w:rPr>
        <w:t>Employer reporting under the NJ Act applies to all employers that withhold and remit New Jersey Gross Income </w:t>
      </w:r>
      <w:r>
        <w:rPr>
          <w:color w:val="414042"/>
          <w:spacing w:val="-8"/>
        </w:rPr>
        <w:t>Tax </w:t>
      </w:r>
      <w:r>
        <w:rPr>
          <w:color w:val="414042"/>
        </w:rPr>
        <w:t>for New Jersey residents, including employers located outside of the state. </w:t>
      </w:r>
      <w:r>
        <w:rPr>
          <w:color w:val="414042"/>
          <w:spacing w:val="-4"/>
        </w:rPr>
        <w:t>However, </w:t>
      </w:r>
      <w:r>
        <w:rPr>
          <w:color w:val="414042"/>
        </w:rPr>
        <w:t>the NJ Act </w:t>
      </w:r>
      <w:r>
        <w:rPr>
          <w:color w:val="414042"/>
          <w:spacing w:val="-5"/>
        </w:rPr>
        <w:t>employer </w:t>
      </w:r>
      <w:r>
        <w:rPr>
          <w:color w:val="414042"/>
        </w:rPr>
        <w:t>reporting is optional </w:t>
      </w:r>
      <w:r>
        <w:rPr>
          <w:color w:val="414042"/>
          <w:spacing w:val="-3"/>
        </w:rPr>
        <w:t>for </w:t>
      </w:r>
      <w:r>
        <w:rPr>
          <w:color w:val="414042"/>
        </w:rPr>
        <w:t>employers who are not required</w:t>
      </w:r>
    </w:p>
    <w:p>
      <w:pPr>
        <w:pStyle w:val="BodyText"/>
        <w:spacing w:line="333" w:lineRule="auto" w:before="1"/>
        <w:ind w:left="100" w:right="211"/>
      </w:pPr>
      <w:r>
        <w:rPr>
          <w:color w:val="414042"/>
        </w:rPr>
        <w:t>to submit IRS Forms 1095-C or 1095-B to employees. That would generally consist of any employer under 50 employees. However, pending further guidance, a small employer with a self-insured plan for any portion of the year may still be subject to reporting under the NJ Act.</w:t>
      </w:r>
    </w:p>
    <w:p>
      <w:pPr>
        <w:pStyle w:val="BodyText"/>
        <w:rPr>
          <w:sz w:val="28"/>
        </w:rPr>
      </w:pPr>
    </w:p>
    <w:p>
      <w:pPr>
        <w:pStyle w:val="BodyText"/>
        <w:spacing w:line="333" w:lineRule="auto"/>
        <w:ind w:left="100" w:right="46"/>
      </w:pPr>
      <w:r>
        <w:rPr>
          <w:color w:val="414042"/>
        </w:rPr>
        <w:t>Even though the ACA has not required employers with insured plans to report on actual coverage of individuals (a responsibility that falls on insurance carriers), the state still requires such employers to submit any Forms 1095-C they generate for individuals who are NJ residents.</w:t>
      </w:r>
    </w:p>
    <w:p>
      <w:pPr>
        <w:pStyle w:val="BodyText"/>
        <w:spacing w:before="1"/>
        <w:rPr>
          <w:sz w:val="21"/>
        </w:rPr>
      </w:pPr>
    </w:p>
    <w:p>
      <w:pPr>
        <w:pStyle w:val="Heading2"/>
      </w:pPr>
      <w:r>
        <w:rPr>
          <w:color w:val="2D5064"/>
        </w:rPr>
        <w:t>Employer Action</w:t>
      </w:r>
    </w:p>
    <w:p>
      <w:pPr>
        <w:pStyle w:val="BodyText"/>
        <w:spacing w:before="11"/>
        <w:rPr>
          <w:rFonts w:ascii="Constantia"/>
          <w:sz w:val="30"/>
        </w:rPr>
      </w:pPr>
    </w:p>
    <w:p>
      <w:pPr>
        <w:pStyle w:val="BodyText"/>
        <w:spacing w:line="333" w:lineRule="auto"/>
        <w:ind w:left="100" w:right="12"/>
      </w:pPr>
      <w:r>
        <w:rPr>
          <w:color w:val="414042"/>
        </w:rPr>
        <w:t>All employers with employees who are New Jersey residents should evaluate whether they will be subject to these new reporting requirements beginning in 2019. In many cases, such employers will already be generating the Forms required to be filed with the state.</w:t>
      </w:r>
    </w:p>
    <w:p>
      <w:pPr>
        <w:pStyle w:val="BodyText"/>
        <w:spacing w:before="11"/>
        <w:rPr>
          <w:sz w:val="21"/>
        </w:rPr>
      </w:pPr>
      <w:r>
        <w:rPr/>
        <w:br w:type="column"/>
      </w:r>
      <w:r>
        <w:rPr>
          <w:sz w:val="21"/>
        </w:rPr>
      </w:r>
    </w:p>
    <w:p>
      <w:pPr>
        <w:pStyle w:val="BodyText"/>
        <w:spacing w:line="333" w:lineRule="auto"/>
        <w:ind w:left="100" w:right="336"/>
      </w:pPr>
      <w:r>
        <w:rPr>
          <w:color w:val="414042"/>
        </w:rPr>
        <w:t>Employers should be aware of the February 15, 2020 reporting deadline (as it is earlier than what is required under federal law).</w:t>
      </w:r>
    </w:p>
    <w:p>
      <w:pPr>
        <w:pStyle w:val="BodyText"/>
        <w:spacing w:before="10"/>
        <w:rPr>
          <w:sz w:val="27"/>
        </w:rPr>
      </w:pPr>
    </w:p>
    <w:p>
      <w:pPr>
        <w:pStyle w:val="BodyText"/>
        <w:spacing w:line="333" w:lineRule="auto"/>
        <w:ind w:left="100" w:right="36"/>
      </w:pPr>
      <w:r>
        <w:rPr>
          <w:color w:val="414042"/>
        </w:rPr>
        <w:t>Further, all such employers should watch for updates on the New Jersey website, particularly if the IRS changes the current Forms for 2019 reporting, and if NJ deploys its own separate forms.</w:t>
      </w:r>
    </w:p>
    <w:sectPr>
      <w:type w:val="continuous"/>
      <w:pgSz w:w="12240" w:h="15840"/>
      <w:pgMar w:top="0" w:bottom="640" w:left="620" w:right="680"/>
      <w:cols w:num="2" w:equalWidth="0">
        <w:col w:w="5268" w:space="402"/>
        <w:col w:w="527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Helvetica">
    <w:altName w:val="Helvetica"/>
    <w:charset w:val="0"/>
    <w:family w:val="swiss"/>
    <w:pitch w:val="variable"/>
  </w:font>
  <w:font w:name="Constantia">
    <w:altName w:val="Constant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35pt;margin-top:758.414001pt;width:524pt;height:17.95pt;mso-position-horizontal-relative:page;mso-position-vertical-relative:page;z-index:-3976" type="#_x0000_t202" filled="false" stroked="false">
          <v:textbox inset="0,0,0,0">
            <w:txbxContent>
              <w:p>
                <w:pPr>
                  <w:spacing w:line="312" w:lineRule="auto" w:before="19"/>
                  <w:ind w:left="20" w:right="16" w:firstLine="0"/>
                  <w:jc w:val="left"/>
                  <w:rPr>
                    <w:sz w:val="12"/>
                  </w:rPr>
                </w:pPr>
                <w:r>
                  <w:rPr>
                    <w:color w:val="9AA8A7"/>
                    <w:sz w:val="12"/>
                  </w:rPr>
                  <w:t>This</w:t>
                </w:r>
                <w:r>
                  <w:rPr>
                    <w:color w:val="9AA8A7"/>
                    <w:spacing w:val="-3"/>
                    <w:sz w:val="12"/>
                  </w:rPr>
                  <w:t> </w:t>
                </w:r>
                <w:r>
                  <w:rPr>
                    <w:color w:val="9AA8A7"/>
                    <w:sz w:val="12"/>
                  </w:rPr>
                  <w:t>document</w:t>
                </w:r>
                <w:r>
                  <w:rPr>
                    <w:color w:val="9AA8A7"/>
                    <w:spacing w:val="-2"/>
                    <w:sz w:val="12"/>
                  </w:rPr>
                  <w:t> </w:t>
                </w:r>
                <w:r>
                  <w:rPr>
                    <w:color w:val="9AA8A7"/>
                    <w:sz w:val="12"/>
                  </w:rPr>
                  <w:t>is</w:t>
                </w:r>
                <w:r>
                  <w:rPr>
                    <w:color w:val="9AA8A7"/>
                    <w:spacing w:val="-3"/>
                    <w:sz w:val="12"/>
                  </w:rPr>
                  <w:t> </w:t>
                </w:r>
                <w:r>
                  <w:rPr>
                    <w:color w:val="9AA8A7"/>
                    <w:sz w:val="12"/>
                  </w:rPr>
                  <w:t>designed</w:t>
                </w:r>
                <w:r>
                  <w:rPr>
                    <w:color w:val="9AA8A7"/>
                    <w:spacing w:val="-2"/>
                    <w:sz w:val="12"/>
                  </w:rPr>
                  <w:t> </w:t>
                </w:r>
                <w:r>
                  <w:rPr>
                    <w:color w:val="9AA8A7"/>
                    <w:sz w:val="12"/>
                  </w:rPr>
                  <w:t>to</w:t>
                </w:r>
                <w:r>
                  <w:rPr>
                    <w:color w:val="9AA8A7"/>
                    <w:spacing w:val="-2"/>
                    <w:sz w:val="12"/>
                  </w:rPr>
                  <w:t> </w:t>
                </w:r>
                <w:r>
                  <w:rPr>
                    <w:color w:val="9AA8A7"/>
                    <w:sz w:val="12"/>
                  </w:rPr>
                  <w:t>highlight</w:t>
                </w:r>
                <w:r>
                  <w:rPr>
                    <w:color w:val="9AA8A7"/>
                    <w:spacing w:val="-3"/>
                    <w:sz w:val="12"/>
                  </w:rPr>
                  <w:t> </w:t>
                </w:r>
                <w:r>
                  <w:rPr>
                    <w:color w:val="9AA8A7"/>
                    <w:sz w:val="12"/>
                  </w:rPr>
                  <w:t>various</w:t>
                </w:r>
                <w:r>
                  <w:rPr>
                    <w:color w:val="9AA8A7"/>
                    <w:spacing w:val="-2"/>
                    <w:sz w:val="12"/>
                  </w:rPr>
                  <w:t> </w:t>
                </w:r>
                <w:r>
                  <w:rPr>
                    <w:color w:val="9AA8A7"/>
                    <w:sz w:val="12"/>
                  </w:rPr>
                  <w:t>employee</w:t>
                </w:r>
                <w:r>
                  <w:rPr>
                    <w:color w:val="9AA8A7"/>
                    <w:spacing w:val="-2"/>
                    <w:sz w:val="12"/>
                  </w:rPr>
                  <w:t> </w:t>
                </w:r>
                <w:r>
                  <w:rPr>
                    <w:color w:val="9AA8A7"/>
                    <w:sz w:val="12"/>
                  </w:rPr>
                  <w:t>benefit</w:t>
                </w:r>
                <w:r>
                  <w:rPr>
                    <w:color w:val="9AA8A7"/>
                    <w:spacing w:val="-3"/>
                    <w:sz w:val="12"/>
                  </w:rPr>
                  <w:t> </w:t>
                </w:r>
                <w:r>
                  <w:rPr>
                    <w:color w:val="9AA8A7"/>
                    <w:sz w:val="12"/>
                  </w:rPr>
                  <w:t>matters</w:t>
                </w:r>
                <w:r>
                  <w:rPr>
                    <w:color w:val="9AA8A7"/>
                    <w:spacing w:val="-2"/>
                    <w:sz w:val="12"/>
                  </w:rPr>
                  <w:t> </w:t>
                </w:r>
                <w:r>
                  <w:rPr>
                    <w:color w:val="9AA8A7"/>
                    <w:sz w:val="12"/>
                  </w:rPr>
                  <w:t>of</w:t>
                </w:r>
                <w:r>
                  <w:rPr>
                    <w:color w:val="9AA8A7"/>
                    <w:spacing w:val="-2"/>
                    <w:sz w:val="12"/>
                  </w:rPr>
                  <w:t> </w:t>
                </w:r>
                <w:r>
                  <w:rPr>
                    <w:color w:val="9AA8A7"/>
                    <w:sz w:val="12"/>
                  </w:rPr>
                  <w:t>general</w:t>
                </w:r>
                <w:r>
                  <w:rPr>
                    <w:color w:val="9AA8A7"/>
                    <w:spacing w:val="-3"/>
                    <w:sz w:val="12"/>
                  </w:rPr>
                  <w:t> </w:t>
                </w:r>
                <w:r>
                  <w:rPr>
                    <w:color w:val="9AA8A7"/>
                    <w:sz w:val="12"/>
                  </w:rPr>
                  <w:t>interest</w:t>
                </w:r>
                <w:r>
                  <w:rPr>
                    <w:color w:val="9AA8A7"/>
                    <w:spacing w:val="-2"/>
                    <w:sz w:val="12"/>
                  </w:rPr>
                  <w:t> </w:t>
                </w:r>
                <w:r>
                  <w:rPr>
                    <w:color w:val="9AA8A7"/>
                    <w:sz w:val="12"/>
                  </w:rPr>
                  <w:t>to</w:t>
                </w:r>
                <w:r>
                  <w:rPr>
                    <w:color w:val="9AA8A7"/>
                    <w:spacing w:val="-2"/>
                    <w:sz w:val="12"/>
                  </w:rPr>
                  <w:t> </w:t>
                </w:r>
                <w:r>
                  <w:rPr>
                    <w:color w:val="9AA8A7"/>
                    <w:sz w:val="12"/>
                  </w:rPr>
                  <w:t>our</w:t>
                </w:r>
                <w:r>
                  <w:rPr>
                    <w:color w:val="9AA8A7"/>
                    <w:spacing w:val="-3"/>
                    <w:sz w:val="12"/>
                  </w:rPr>
                  <w:t> </w:t>
                </w:r>
                <w:r>
                  <w:rPr>
                    <w:color w:val="9AA8A7"/>
                    <w:sz w:val="12"/>
                  </w:rPr>
                  <w:t>readers.</w:t>
                </w:r>
                <w:r>
                  <w:rPr>
                    <w:color w:val="9AA8A7"/>
                    <w:spacing w:val="-10"/>
                    <w:sz w:val="12"/>
                  </w:rPr>
                  <w:t> </w:t>
                </w:r>
                <w:r>
                  <w:rPr>
                    <w:color w:val="9AA8A7"/>
                    <w:sz w:val="12"/>
                  </w:rPr>
                  <w:t>It</w:t>
                </w:r>
                <w:r>
                  <w:rPr>
                    <w:color w:val="9AA8A7"/>
                    <w:spacing w:val="-2"/>
                    <w:sz w:val="12"/>
                  </w:rPr>
                  <w:t> </w:t>
                </w:r>
                <w:r>
                  <w:rPr>
                    <w:color w:val="9AA8A7"/>
                    <w:sz w:val="12"/>
                  </w:rPr>
                  <w:t>is</w:t>
                </w:r>
                <w:r>
                  <w:rPr>
                    <w:color w:val="9AA8A7"/>
                    <w:spacing w:val="-2"/>
                    <w:sz w:val="12"/>
                  </w:rPr>
                  <w:t> </w:t>
                </w:r>
                <w:r>
                  <w:rPr>
                    <w:color w:val="9AA8A7"/>
                    <w:sz w:val="12"/>
                  </w:rPr>
                  <w:t>not</w:t>
                </w:r>
                <w:r>
                  <w:rPr>
                    <w:color w:val="9AA8A7"/>
                    <w:spacing w:val="-3"/>
                    <w:sz w:val="12"/>
                  </w:rPr>
                  <w:t> </w:t>
                </w:r>
                <w:r>
                  <w:rPr>
                    <w:color w:val="9AA8A7"/>
                    <w:sz w:val="12"/>
                  </w:rPr>
                  <w:t>intended</w:t>
                </w:r>
                <w:r>
                  <w:rPr>
                    <w:color w:val="9AA8A7"/>
                    <w:spacing w:val="-2"/>
                    <w:sz w:val="12"/>
                  </w:rPr>
                  <w:t> </w:t>
                </w:r>
                <w:r>
                  <w:rPr>
                    <w:color w:val="9AA8A7"/>
                    <w:sz w:val="12"/>
                  </w:rPr>
                  <w:t>to</w:t>
                </w:r>
                <w:r>
                  <w:rPr>
                    <w:color w:val="9AA8A7"/>
                    <w:spacing w:val="-2"/>
                    <w:sz w:val="12"/>
                  </w:rPr>
                  <w:t> </w:t>
                </w:r>
                <w:r>
                  <w:rPr>
                    <w:color w:val="9AA8A7"/>
                    <w:sz w:val="12"/>
                  </w:rPr>
                  <w:t>interpret</w:t>
                </w:r>
                <w:r>
                  <w:rPr>
                    <w:color w:val="9AA8A7"/>
                    <w:spacing w:val="-3"/>
                    <w:sz w:val="12"/>
                  </w:rPr>
                  <w:t> </w:t>
                </w:r>
                <w:r>
                  <w:rPr>
                    <w:color w:val="9AA8A7"/>
                    <w:sz w:val="12"/>
                  </w:rPr>
                  <w:t>laws</w:t>
                </w:r>
                <w:r>
                  <w:rPr>
                    <w:color w:val="9AA8A7"/>
                    <w:spacing w:val="-2"/>
                    <w:sz w:val="12"/>
                  </w:rPr>
                  <w:t> </w:t>
                </w:r>
                <w:r>
                  <w:rPr>
                    <w:color w:val="9AA8A7"/>
                    <w:sz w:val="12"/>
                  </w:rPr>
                  <w:t>or</w:t>
                </w:r>
                <w:r>
                  <w:rPr>
                    <w:color w:val="9AA8A7"/>
                    <w:spacing w:val="-2"/>
                    <w:sz w:val="12"/>
                  </w:rPr>
                  <w:t> </w:t>
                </w:r>
                <w:r>
                  <w:rPr>
                    <w:color w:val="9AA8A7"/>
                    <w:sz w:val="12"/>
                  </w:rPr>
                  <w:t>regulations,</w:t>
                </w:r>
                <w:r>
                  <w:rPr>
                    <w:color w:val="9AA8A7"/>
                    <w:spacing w:val="-3"/>
                    <w:sz w:val="12"/>
                  </w:rPr>
                  <w:t> </w:t>
                </w:r>
                <w:r>
                  <w:rPr>
                    <w:color w:val="9AA8A7"/>
                    <w:sz w:val="12"/>
                  </w:rPr>
                  <w:t>or</w:t>
                </w:r>
                <w:r>
                  <w:rPr>
                    <w:color w:val="9AA8A7"/>
                    <w:spacing w:val="-2"/>
                    <w:sz w:val="12"/>
                  </w:rPr>
                  <w:t> </w:t>
                </w:r>
                <w:r>
                  <w:rPr>
                    <w:color w:val="9AA8A7"/>
                    <w:sz w:val="12"/>
                  </w:rPr>
                  <w:t>to</w:t>
                </w:r>
                <w:r>
                  <w:rPr>
                    <w:color w:val="9AA8A7"/>
                    <w:spacing w:val="-2"/>
                    <w:sz w:val="12"/>
                  </w:rPr>
                  <w:t> </w:t>
                </w:r>
                <w:r>
                  <w:rPr>
                    <w:color w:val="9AA8A7"/>
                    <w:sz w:val="12"/>
                  </w:rPr>
                  <w:t>address</w:t>
                </w:r>
                <w:r>
                  <w:rPr>
                    <w:color w:val="9AA8A7"/>
                    <w:spacing w:val="-3"/>
                    <w:sz w:val="12"/>
                  </w:rPr>
                  <w:t> </w:t>
                </w:r>
                <w:r>
                  <w:rPr>
                    <w:color w:val="9AA8A7"/>
                    <w:sz w:val="12"/>
                  </w:rPr>
                  <w:t>specific</w:t>
                </w:r>
                <w:r>
                  <w:rPr>
                    <w:color w:val="9AA8A7"/>
                    <w:spacing w:val="-2"/>
                    <w:sz w:val="12"/>
                  </w:rPr>
                  <w:t> </w:t>
                </w:r>
                <w:r>
                  <w:rPr>
                    <w:color w:val="9AA8A7"/>
                    <w:sz w:val="12"/>
                  </w:rPr>
                  <w:t>client</w:t>
                </w:r>
                <w:r>
                  <w:rPr>
                    <w:color w:val="9AA8A7"/>
                    <w:spacing w:val="-2"/>
                    <w:sz w:val="12"/>
                  </w:rPr>
                  <w:t> </w:t>
                </w:r>
                <w:r>
                  <w:rPr>
                    <w:color w:val="9AA8A7"/>
                    <w:sz w:val="12"/>
                  </w:rPr>
                  <w:t>situations.</w:t>
                </w:r>
                <w:r>
                  <w:rPr>
                    <w:color w:val="9AA8A7"/>
                    <w:spacing w:val="-20"/>
                    <w:sz w:val="12"/>
                  </w:rPr>
                  <w:t> </w:t>
                </w:r>
                <w:r>
                  <w:rPr>
                    <w:color w:val="9AA8A7"/>
                    <w:spacing w:val="-6"/>
                    <w:sz w:val="12"/>
                  </w:rPr>
                  <w:t>You </w:t>
                </w:r>
                <w:r>
                  <w:rPr>
                    <w:color w:val="9AA8A7"/>
                    <w:sz w:val="12"/>
                  </w:rPr>
                  <w:t>should not act or rely on any information contained herein without seeking the advice of an attorney or tax professional. </w:t>
                </w:r>
                <w:r>
                  <w:rPr>
                    <w:color w:val="939598"/>
                    <w:spacing w:val="-3"/>
                    <w:sz w:val="12"/>
                  </w:rPr>
                  <w:t>CA </w:t>
                </w:r>
                <w:r>
                  <w:rPr>
                    <w:color w:val="939598"/>
                    <w:sz w:val="12"/>
                  </w:rPr>
                  <w:t>Insurance License</w:t>
                </w:r>
                <w:r>
                  <w:rPr>
                    <w:color w:val="939598"/>
                    <w:spacing w:val="-14"/>
                    <w:sz w:val="12"/>
                  </w:rPr>
                  <w:t> </w:t>
                </w:r>
                <w:r>
                  <w:rPr>
                    <w:color w:val="939598"/>
                    <w:sz w:val="12"/>
                  </w:rPr>
                  <w:t>#0C94240.</w:t>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line="557" w:lineRule="exact"/>
      <w:ind w:left="100"/>
      <w:outlineLvl w:val="1"/>
    </w:pPr>
    <w:rPr>
      <w:rFonts w:ascii="Constantia" w:hAnsi="Constantia" w:eastAsia="Constantia" w:cs="Constantia"/>
      <w:sz w:val="46"/>
      <w:szCs w:val="46"/>
    </w:rPr>
  </w:style>
  <w:style w:styleId="Heading2" w:type="paragraph">
    <w:name w:val="Heading 2"/>
    <w:basedOn w:val="Normal"/>
    <w:uiPriority w:val="1"/>
    <w:qFormat/>
    <w:pPr>
      <w:ind w:left="100"/>
      <w:outlineLvl w:val="2"/>
    </w:pPr>
    <w:rPr>
      <w:rFonts w:ascii="Constantia" w:hAnsi="Constantia" w:eastAsia="Constantia" w:cs="Constantia"/>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yperlink" Target="mailto:eric.raymond@theraymondorganiz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2019-03-05T21:37:00Z</dcterms:created>
  <dcterms:modified xsi:type="dcterms:W3CDTF">2019-03-05T21:37:00Z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2019-01-29T00:00:00Z</vt:filetime>
  </property>
  <property fmtid="{D5CDD505-2E9C-101B-9397-08002B2CF9AE}" pid="3" name="LastSaved">
    <vt:filetime>2019-03-05T00:00:00Z</vt:filetime>
  </property>
</Properties>
</file>