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612pt;height:144.75pt;mso-position-horizontal-relative:page;mso-position-vertical-relative:page;z-index:1048" coordorigin="0,0" coordsize="12240,2895">
            <v:shape style="position:absolute;left:0;top:0;width:12240;height:2895" coordorigin="0,0" coordsize="12240,2895" path="m1240,2279l720,2279,720,2895,1240,2279xm12240,0l0,0,0,2279,12240,2279,12240,0xe" filled="true" fillcolor="#f0f1ef" stroked="false">
              <v:path arrowok="t"/>
              <v:fill type="solid"/>
            </v:shape>
            <v:shapetype id="_x0000_t202" o:spt="202" coordsize="21600,21600" path="m,l,21600r21600,l21600,xe">
              <v:stroke joinstyle="miter"/>
              <v:path gradientshapeok="t" o:connecttype="rect"/>
            </v:shapetype>
            <v:shape style="position:absolute;left:0;top:0;width:12240;height:2895"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9"/>
                      </w:rPr>
                    </w:pPr>
                  </w:p>
                  <w:p>
                    <w:pPr>
                      <w:spacing w:before="0"/>
                      <w:ind w:left="720" w:right="0" w:firstLine="0"/>
                      <w:jc w:val="left"/>
                      <w:rPr>
                        <w:sz w:val="16"/>
                      </w:rPr>
                    </w:pPr>
                    <w:r>
                      <w:rPr>
                        <w:color w:val="75736A"/>
                        <w:sz w:val="16"/>
                      </w:rPr>
                      <w:t>Published: January 28, 2019</w:t>
                    </w:r>
                  </w:p>
                  <w:p>
                    <w:pPr>
                      <w:spacing w:before="4"/>
                      <w:ind w:left="720" w:right="0" w:firstLine="0"/>
                      <w:jc w:val="left"/>
                      <w:rPr>
                        <w:rFonts w:ascii="Constantia"/>
                        <w:sz w:val="46"/>
                      </w:rPr>
                    </w:pPr>
                    <w:r>
                      <w:rPr>
                        <w:rFonts w:ascii="Constantia"/>
                        <w:color w:val="2D5064"/>
                        <w:sz w:val="46"/>
                      </w:rPr>
                      <w:t>DOL Penalties Increase for 2019</w:t>
                    </w:r>
                  </w:p>
                  <w:p>
                    <w:pPr>
                      <w:spacing w:before="150"/>
                      <w:ind w:left="748" w:right="0" w:firstLine="0"/>
                      <w:jc w:val="left"/>
                      <w:rPr>
                        <w:rFonts w:ascii="Helvetica"/>
                        <w:sz w:val="20"/>
                      </w:rPr>
                    </w:pPr>
                    <w:r>
                      <w:rPr>
                        <w:rFonts w:ascii="Helvetica"/>
                        <w:color w:val="414042"/>
                        <w:sz w:val="20"/>
                      </w:rPr>
                      <w:t>Eric Raymond | The Raymond Organization | (215) 990-0024 | </w:t>
                    </w:r>
                    <w:hyperlink r:id="rId5">
                      <w:r>
                        <w:rPr>
                          <w:rFonts w:ascii="Helvetica"/>
                          <w:color w:val="414042"/>
                          <w:sz w:val="20"/>
                        </w:rPr>
                        <w:t>eric.raymond@theraymondorganization.com</w:t>
                      </w:r>
                    </w:hyperlink>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6"/>
        </w:rPr>
      </w:pPr>
    </w:p>
    <w:p>
      <w:pPr>
        <w:pStyle w:val="BodyText"/>
        <w:spacing w:line="333" w:lineRule="auto" w:before="98"/>
        <w:ind w:left="720" w:right="687"/>
      </w:pPr>
      <w:r>
        <w:rPr>
          <w:color w:val="414042"/>
        </w:rPr>
        <w:t>The Department of Labor (DOL) published the annual adjustments for 2019 that increase certain penalties applicable to employee benefit plans.</w:t>
      </w:r>
    </w:p>
    <w:p>
      <w:pPr>
        <w:pStyle w:val="BodyText"/>
        <w:rPr>
          <w:sz w:val="21"/>
        </w:rPr>
      </w:pPr>
    </w:p>
    <w:p>
      <w:pPr>
        <w:pStyle w:val="Heading1"/>
        <w:spacing w:before="1"/>
      </w:pPr>
      <w:r>
        <w:rPr>
          <w:color w:val="2D5064"/>
        </w:rPr>
        <w:t>Annual Penalty Adjustments For 2019</w:t>
      </w:r>
    </w:p>
    <w:p>
      <w:pPr>
        <w:pStyle w:val="BodyText"/>
        <w:spacing w:before="10"/>
        <w:rPr>
          <w:rFonts w:ascii="Constantia"/>
          <w:sz w:val="30"/>
        </w:rPr>
      </w:pPr>
    </w:p>
    <w:p>
      <w:pPr>
        <w:pStyle w:val="BodyText"/>
        <w:spacing w:before="1"/>
        <w:ind w:left="720"/>
      </w:pPr>
      <w:r>
        <w:rPr>
          <w:color w:val="414042"/>
        </w:rPr>
        <w:t>The following updated penalties are applicable to health and welfare plans subject to ERISA</w:t>
      </w:r>
    </w:p>
    <w:p>
      <w:pPr>
        <w:pStyle w:val="BodyText"/>
        <w:spacing w:before="10"/>
        <w:rPr>
          <w:sz w:val="18"/>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3"/>
        <w:gridCol w:w="3610"/>
        <w:gridCol w:w="3047"/>
      </w:tblGrid>
      <w:tr>
        <w:trPr>
          <w:trHeight w:val="388" w:hRule="atLeast"/>
        </w:trPr>
        <w:tc>
          <w:tcPr>
            <w:tcW w:w="4143" w:type="dxa"/>
            <w:shd w:val="clear" w:color="auto" w:fill="2D5064"/>
          </w:tcPr>
          <w:p>
            <w:pPr>
              <w:pStyle w:val="TableParagraph"/>
              <w:ind w:left="80"/>
              <w:jc w:val="left"/>
              <w:rPr>
                <w:b/>
                <w:sz w:val="16"/>
              </w:rPr>
            </w:pPr>
            <w:r>
              <w:rPr>
                <w:b/>
                <w:color w:val="FFFFFF"/>
                <w:sz w:val="16"/>
              </w:rPr>
              <w:t>Description</w:t>
            </w:r>
          </w:p>
        </w:tc>
        <w:tc>
          <w:tcPr>
            <w:tcW w:w="3610" w:type="dxa"/>
            <w:shd w:val="clear" w:color="auto" w:fill="2D5064"/>
          </w:tcPr>
          <w:p>
            <w:pPr>
              <w:pStyle w:val="TableParagraph"/>
              <w:ind w:right="632"/>
              <w:rPr>
                <w:b/>
                <w:sz w:val="16"/>
              </w:rPr>
            </w:pPr>
            <w:r>
              <w:rPr>
                <w:b/>
                <w:color w:val="FFFFFF"/>
                <w:sz w:val="16"/>
              </w:rPr>
              <w:t>2018 Penalty</w:t>
            </w:r>
          </w:p>
        </w:tc>
        <w:tc>
          <w:tcPr>
            <w:tcW w:w="3047" w:type="dxa"/>
            <w:shd w:val="clear" w:color="auto" w:fill="2D5064"/>
          </w:tcPr>
          <w:p>
            <w:pPr>
              <w:pStyle w:val="TableParagraph"/>
              <w:ind w:right="79"/>
              <w:rPr>
                <w:b/>
                <w:sz w:val="16"/>
              </w:rPr>
            </w:pPr>
            <w:r>
              <w:rPr>
                <w:b/>
                <w:color w:val="FFFFFF"/>
                <w:sz w:val="16"/>
              </w:rPr>
              <w:t>2019 Penalty</w:t>
            </w:r>
          </w:p>
        </w:tc>
      </w:tr>
      <w:tr>
        <w:trPr>
          <w:trHeight w:val="388" w:hRule="atLeast"/>
        </w:trPr>
        <w:tc>
          <w:tcPr>
            <w:tcW w:w="4143" w:type="dxa"/>
          </w:tcPr>
          <w:p>
            <w:pPr>
              <w:pStyle w:val="TableParagraph"/>
              <w:ind w:left="80"/>
              <w:jc w:val="left"/>
              <w:rPr>
                <w:b/>
                <w:sz w:val="16"/>
              </w:rPr>
            </w:pPr>
            <w:r>
              <w:rPr>
                <w:color w:val="231F20"/>
                <w:sz w:val="16"/>
              </w:rPr>
              <w:t>Failure to file </w:t>
            </w:r>
            <w:r>
              <w:rPr>
                <w:b/>
                <w:color w:val="231F20"/>
                <w:sz w:val="16"/>
              </w:rPr>
              <w:t>Form 5500</w:t>
            </w:r>
          </w:p>
        </w:tc>
        <w:tc>
          <w:tcPr>
            <w:tcW w:w="3610" w:type="dxa"/>
          </w:tcPr>
          <w:p>
            <w:pPr>
              <w:pStyle w:val="TableParagraph"/>
              <w:ind w:right="632"/>
              <w:rPr>
                <w:sz w:val="16"/>
              </w:rPr>
            </w:pPr>
            <w:r>
              <w:rPr>
                <w:color w:val="231F20"/>
                <w:sz w:val="16"/>
              </w:rPr>
              <w:t>Up to $2,140 per day</w:t>
            </w:r>
          </w:p>
        </w:tc>
        <w:tc>
          <w:tcPr>
            <w:tcW w:w="3047" w:type="dxa"/>
          </w:tcPr>
          <w:p>
            <w:pPr>
              <w:pStyle w:val="TableParagraph"/>
              <w:ind w:right="79"/>
              <w:rPr>
                <w:sz w:val="16"/>
              </w:rPr>
            </w:pPr>
            <w:r>
              <w:rPr>
                <w:color w:val="231F20"/>
                <w:sz w:val="16"/>
              </w:rPr>
              <w:t>Up to $2,194 per day</w:t>
            </w:r>
          </w:p>
        </w:tc>
      </w:tr>
      <w:tr>
        <w:trPr>
          <w:trHeight w:val="388" w:hRule="atLeast"/>
        </w:trPr>
        <w:tc>
          <w:tcPr>
            <w:tcW w:w="4143" w:type="dxa"/>
            <w:shd w:val="clear" w:color="auto" w:fill="F5F6F5"/>
          </w:tcPr>
          <w:p>
            <w:pPr>
              <w:pStyle w:val="TableParagraph"/>
              <w:ind w:left="80"/>
              <w:jc w:val="left"/>
              <w:rPr>
                <w:sz w:val="16"/>
              </w:rPr>
            </w:pPr>
            <w:r>
              <w:rPr>
                <w:color w:val="231F20"/>
                <w:sz w:val="16"/>
              </w:rPr>
              <w:t>Failure of a </w:t>
            </w:r>
            <w:r>
              <w:rPr>
                <w:b/>
                <w:color w:val="231F20"/>
                <w:sz w:val="16"/>
              </w:rPr>
              <w:t>MEWA </w:t>
            </w:r>
            <w:r>
              <w:rPr>
                <w:color w:val="231F20"/>
                <w:sz w:val="16"/>
              </w:rPr>
              <w:t>to file reports</w:t>
            </w:r>
          </w:p>
        </w:tc>
        <w:tc>
          <w:tcPr>
            <w:tcW w:w="3610" w:type="dxa"/>
            <w:shd w:val="clear" w:color="auto" w:fill="F5F6F5"/>
          </w:tcPr>
          <w:p>
            <w:pPr>
              <w:pStyle w:val="TableParagraph"/>
              <w:ind w:right="632"/>
              <w:rPr>
                <w:sz w:val="16"/>
              </w:rPr>
            </w:pPr>
            <w:r>
              <w:rPr>
                <w:color w:val="231F20"/>
                <w:sz w:val="16"/>
              </w:rPr>
              <w:t>Up to $1,558 per day</w:t>
            </w:r>
          </w:p>
        </w:tc>
        <w:tc>
          <w:tcPr>
            <w:tcW w:w="3047" w:type="dxa"/>
            <w:shd w:val="clear" w:color="auto" w:fill="F5F6F5"/>
          </w:tcPr>
          <w:p>
            <w:pPr>
              <w:pStyle w:val="TableParagraph"/>
              <w:ind w:right="79"/>
              <w:rPr>
                <w:sz w:val="16"/>
              </w:rPr>
            </w:pPr>
            <w:r>
              <w:rPr>
                <w:color w:val="231F20"/>
                <w:sz w:val="16"/>
              </w:rPr>
              <w:t>Up to $1,597 per day</w:t>
            </w:r>
          </w:p>
        </w:tc>
      </w:tr>
      <w:tr>
        <w:trPr>
          <w:trHeight w:val="388" w:hRule="atLeast"/>
        </w:trPr>
        <w:tc>
          <w:tcPr>
            <w:tcW w:w="4143" w:type="dxa"/>
          </w:tcPr>
          <w:p>
            <w:pPr>
              <w:pStyle w:val="TableParagraph"/>
              <w:ind w:left="80"/>
              <w:jc w:val="left"/>
              <w:rPr>
                <w:b/>
                <w:sz w:val="16"/>
              </w:rPr>
            </w:pPr>
            <w:r>
              <w:rPr>
                <w:color w:val="231F20"/>
                <w:sz w:val="16"/>
              </w:rPr>
              <w:t>Failure to provide </w:t>
            </w:r>
            <w:r>
              <w:rPr>
                <w:b/>
                <w:color w:val="231F20"/>
                <w:sz w:val="16"/>
              </w:rPr>
              <w:t>CHIP Notice</w:t>
            </w:r>
          </w:p>
        </w:tc>
        <w:tc>
          <w:tcPr>
            <w:tcW w:w="3610" w:type="dxa"/>
          </w:tcPr>
          <w:p>
            <w:pPr>
              <w:pStyle w:val="TableParagraph"/>
              <w:ind w:right="632"/>
              <w:rPr>
                <w:sz w:val="16"/>
              </w:rPr>
            </w:pPr>
            <w:r>
              <w:rPr>
                <w:color w:val="231F20"/>
                <w:sz w:val="16"/>
              </w:rPr>
              <w:t>Up to $114 per day per employee</w:t>
            </w:r>
          </w:p>
        </w:tc>
        <w:tc>
          <w:tcPr>
            <w:tcW w:w="3047" w:type="dxa"/>
          </w:tcPr>
          <w:p>
            <w:pPr>
              <w:pStyle w:val="TableParagraph"/>
              <w:ind w:right="79"/>
              <w:rPr>
                <w:sz w:val="16"/>
              </w:rPr>
            </w:pPr>
            <w:r>
              <w:rPr>
                <w:color w:val="231F20"/>
                <w:sz w:val="16"/>
              </w:rPr>
              <w:t>Up to $117 per day per employee</w:t>
            </w:r>
          </w:p>
        </w:tc>
      </w:tr>
      <w:tr>
        <w:trPr>
          <w:trHeight w:val="295" w:hRule="atLeast"/>
        </w:trPr>
        <w:tc>
          <w:tcPr>
            <w:tcW w:w="4143" w:type="dxa"/>
            <w:shd w:val="clear" w:color="auto" w:fill="F5F6F5"/>
          </w:tcPr>
          <w:p>
            <w:pPr>
              <w:pStyle w:val="TableParagraph"/>
              <w:spacing w:line="174" w:lineRule="exact"/>
              <w:ind w:left="80"/>
              <w:jc w:val="left"/>
              <w:rPr>
                <w:sz w:val="16"/>
              </w:rPr>
            </w:pPr>
            <w:r>
              <w:rPr>
                <w:color w:val="231F20"/>
                <w:sz w:val="16"/>
              </w:rPr>
              <w:t>Failure to disclose CHIP/Medicare Coordination</w:t>
            </w:r>
          </w:p>
        </w:tc>
        <w:tc>
          <w:tcPr>
            <w:tcW w:w="3610" w:type="dxa"/>
            <w:shd w:val="clear" w:color="auto" w:fill="F5F6F5"/>
          </w:tcPr>
          <w:p>
            <w:pPr>
              <w:pStyle w:val="TableParagraph"/>
              <w:spacing w:line="174" w:lineRule="exact"/>
              <w:ind w:right="632"/>
              <w:rPr>
                <w:sz w:val="16"/>
              </w:rPr>
            </w:pPr>
            <w:r>
              <w:rPr>
                <w:color w:val="231F20"/>
                <w:sz w:val="16"/>
              </w:rPr>
              <w:t>$114 per day per violation</w:t>
            </w:r>
          </w:p>
        </w:tc>
        <w:tc>
          <w:tcPr>
            <w:tcW w:w="3047" w:type="dxa"/>
            <w:shd w:val="clear" w:color="auto" w:fill="F5F6F5"/>
          </w:tcPr>
          <w:p>
            <w:pPr>
              <w:pStyle w:val="TableParagraph"/>
              <w:spacing w:line="174" w:lineRule="exact"/>
              <w:ind w:right="79"/>
              <w:rPr>
                <w:sz w:val="16"/>
              </w:rPr>
            </w:pPr>
            <w:r>
              <w:rPr>
                <w:color w:val="231F20"/>
                <w:sz w:val="16"/>
              </w:rPr>
              <w:t>$117 per day per violation</w:t>
            </w:r>
          </w:p>
        </w:tc>
      </w:tr>
      <w:tr>
        <w:trPr>
          <w:trHeight w:val="295" w:hRule="atLeast"/>
        </w:trPr>
        <w:tc>
          <w:tcPr>
            <w:tcW w:w="4143" w:type="dxa"/>
            <w:shd w:val="clear" w:color="auto" w:fill="F5F6F5"/>
          </w:tcPr>
          <w:p>
            <w:pPr>
              <w:pStyle w:val="TableParagraph"/>
              <w:spacing w:before="6"/>
              <w:ind w:left="80"/>
              <w:jc w:val="left"/>
              <w:rPr>
                <w:sz w:val="16"/>
              </w:rPr>
            </w:pPr>
            <w:r>
              <w:rPr>
                <w:color w:val="231F20"/>
                <w:sz w:val="16"/>
              </w:rPr>
              <w:t>to the State</w:t>
            </w:r>
          </w:p>
        </w:tc>
        <w:tc>
          <w:tcPr>
            <w:tcW w:w="3610" w:type="dxa"/>
            <w:shd w:val="clear" w:color="auto" w:fill="F5F6F5"/>
          </w:tcPr>
          <w:p>
            <w:pPr>
              <w:pStyle w:val="TableParagraph"/>
              <w:spacing w:before="6"/>
              <w:ind w:right="632"/>
              <w:rPr>
                <w:sz w:val="16"/>
              </w:rPr>
            </w:pPr>
            <w:r>
              <w:rPr>
                <w:color w:val="231F20"/>
                <w:sz w:val="16"/>
              </w:rPr>
              <w:t>(per participant/beneficiary)</w:t>
            </w:r>
          </w:p>
        </w:tc>
        <w:tc>
          <w:tcPr>
            <w:tcW w:w="3047" w:type="dxa"/>
            <w:shd w:val="clear" w:color="auto" w:fill="F5F6F5"/>
          </w:tcPr>
          <w:p>
            <w:pPr>
              <w:pStyle w:val="TableParagraph"/>
              <w:spacing w:before="6"/>
              <w:ind w:right="79"/>
              <w:rPr>
                <w:sz w:val="16"/>
              </w:rPr>
            </w:pPr>
            <w:r>
              <w:rPr>
                <w:color w:val="231F20"/>
                <w:sz w:val="16"/>
              </w:rPr>
              <w:t>(per participant/beneficiary)</w:t>
            </w:r>
          </w:p>
        </w:tc>
      </w:tr>
      <w:tr>
        <w:trPr>
          <w:trHeight w:val="388" w:hRule="atLeast"/>
        </w:trPr>
        <w:tc>
          <w:tcPr>
            <w:tcW w:w="4143" w:type="dxa"/>
          </w:tcPr>
          <w:p>
            <w:pPr>
              <w:pStyle w:val="TableParagraph"/>
              <w:ind w:left="80"/>
              <w:jc w:val="left"/>
              <w:rPr>
                <w:b/>
                <w:sz w:val="16"/>
              </w:rPr>
            </w:pPr>
            <w:r>
              <w:rPr>
                <w:color w:val="231F20"/>
                <w:sz w:val="16"/>
              </w:rPr>
              <w:t>Failure to provide </w:t>
            </w:r>
            <w:r>
              <w:rPr>
                <w:b/>
                <w:color w:val="231F20"/>
                <w:sz w:val="16"/>
              </w:rPr>
              <w:t>SBCs</w:t>
            </w:r>
          </w:p>
        </w:tc>
        <w:tc>
          <w:tcPr>
            <w:tcW w:w="3610" w:type="dxa"/>
          </w:tcPr>
          <w:p>
            <w:pPr>
              <w:pStyle w:val="TableParagraph"/>
              <w:ind w:right="632"/>
              <w:rPr>
                <w:sz w:val="16"/>
              </w:rPr>
            </w:pPr>
            <w:r>
              <w:rPr>
                <w:color w:val="231F20"/>
                <w:sz w:val="16"/>
              </w:rPr>
              <w:t>Up to $1,128 per failure</w:t>
            </w:r>
          </w:p>
        </w:tc>
        <w:tc>
          <w:tcPr>
            <w:tcW w:w="3047" w:type="dxa"/>
          </w:tcPr>
          <w:p>
            <w:pPr>
              <w:pStyle w:val="TableParagraph"/>
              <w:ind w:right="79"/>
              <w:rPr>
                <w:sz w:val="16"/>
              </w:rPr>
            </w:pPr>
            <w:r>
              <w:rPr>
                <w:color w:val="231F20"/>
                <w:sz w:val="16"/>
              </w:rPr>
              <w:t>Up to $1,156 per failure</w:t>
            </w:r>
          </w:p>
        </w:tc>
      </w:tr>
      <w:tr>
        <w:trPr>
          <w:trHeight w:val="295" w:hRule="atLeast"/>
        </w:trPr>
        <w:tc>
          <w:tcPr>
            <w:tcW w:w="4143" w:type="dxa"/>
            <w:shd w:val="clear" w:color="auto" w:fill="F5F6F5"/>
          </w:tcPr>
          <w:p>
            <w:pPr>
              <w:pStyle w:val="TableParagraph"/>
              <w:spacing w:line="174" w:lineRule="exact"/>
              <w:ind w:left="80"/>
              <w:jc w:val="left"/>
              <w:rPr>
                <w:b/>
                <w:sz w:val="16"/>
              </w:rPr>
            </w:pPr>
            <w:r>
              <w:rPr>
                <w:color w:val="231F20"/>
                <w:sz w:val="16"/>
              </w:rPr>
              <w:t>Failure to furnish </w:t>
            </w:r>
            <w:r>
              <w:rPr>
                <w:b/>
                <w:color w:val="231F20"/>
                <w:sz w:val="16"/>
              </w:rPr>
              <w:t>plan documents</w:t>
            </w:r>
          </w:p>
        </w:tc>
        <w:tc>
          <w:tcPr>
            <w:tcW w:w="3610" w:type="dxa"/>
            <w:shd w:val="clear" w:color="auto" w:fill="F5F6F5"/>
          </w:tcPr>
          <w:p>
            <w:pPr>
              <w:pStyle w:val="TableParagraph"/>
              <w:spacing w:line="174" w:lineRule="exact"/>
              <w:ind w:right="632"/>
              <w:rPr>
                <w:sz w:val="16"/>
              </w:rPr>
            </w:pPr>
            <w:r>
              <w:rPr>
                <w:color w:val="231F20"/>
                <w:sz w:val="16"/>
              </w:rPr>
              <w:t>$152 per day</w:t>
            </w:r>
          </w:p>
        </w:tc>
        <w:tc>
          <w:tcPr>
            <w:tcW w:w="3047" w:type="dxa"/>
            <w:shd w:val="clear" w:color="auto" w:fill="F5F6F5"/>
          </w:tcPr>
          <w:p>
            <w:pPr>
              <w:pStyle w:val="TableParagraph"/>
              <w:spacing w:line="174" w:lineRule="exact"/>
              <w:ind w:right="79"/>
              <w:rPr>
                <w:sz w:val="16"/>
              </w:rPr>
            </w:pPr>
            <w:r>
              <w:rPr>
                <w:color w:val="231F20"/>
                <w:sz w:val="16"/>
              </w:rPr>
              <w:t>$156 per day</w:t>
            </w:r>
          </w:p>
        </w:tc>
      </w:tr>
      <w:tr>
        <w:trPr>
          <w:trHeight w:val="293" w:hRule="atLeast"/>
        </w:trPr>
        <w:tc>
          <w:tcPr>
            <w:tcW w:w="4143" w:type="dxa"/>
            <w:shd w:val="clear" w:color="auto" w:fill="F5F6F5"/>
          </w:tcPr>
          <w:p>
            <w:pPr>
              <w:pStyle w:val="TableParagraph"/>
              <w:spacing w:before="6"/>
              <w:ind w:left="80"/>
              <w:jc w:val="left"/>
              <w:rPr>
                <w:sz w:val="16"/>
              </w:rPr>
            </w:pPr>
            <w:r>
              <w:rPr>
                <w:color w:val="231F20"/>
                <w:sz w:val="16"/>
              </w:rPr>
              <w:t>(including SPDs/SMMs)</w:t>
            </w:r>
          </w:p>
        </w:tc>
        <w:tc>
          <w:tcPr>
            <w:tcW w:w="3610" w:type="dxa"/>
            <w:shd w:val="clear" w:color="auto" w:fill="F5F6F5"/>
          </w:tcPr>
          <w:p>
            <w:pPr>
              <w:pStyle w:val="TableParagraph"/>
              <w:spacing w:before="6"/>
              <w:ind w:right="632"/>
              <w:rPr>
                <w:sz w:val="16"/>
              </w:rPr>
            </w:pPr>
            <w:r>
              <w:rPr>
                <w:color w:val="231F20"/>
                <w:sz w:val="16"/>
              </w:rPr>
              <w:t>$1,527 cap per request</w:t>
            </w:r>
          </w:p>
        </w:tc>
        <w:tc>
          <w:tcPr>
            <w:tcW w:w="3047" w:type="dxa"/>
            <w:shd w:val="clear" w:color="auto" w:fill="F5F6F5"/>
          </w:tcPr>
          <w:p>
            <w:pPr>
              <w:pStyle w:val="TableParagraph"/>
              <w:spacing w:before="6"/>
              <w:ind w:right="79"/>
              <w:rPr>
                <w:sz w:val="16"/>
              </w:rPr>
            </w:pPr>
            <w:r>
              <w:rPr>
                <w:color w:val="231F20"/>
                <w:sz w:val="16"/>
              </w:rPr>
              <w:t>$1,566 cap per request</w:t>
            </w:r>
          </w:p>
        </w:tc>
      </w:tr>
      <w:tr>
        <w:trPr>
          <w:trHeight w:val="388" w:hRule="atLeast"/>
        </w:trPr>
        <w:tc>
          <w:tcPr>
            <w:tcW w:w="4143" w:type="dxa"/>
          </w:tcPr>
          <w:p>
            <w:pPr>
              <w:pStyle w:val="TableParagraph"/>
              <w:ind w:left="80"/>
              <w:jc w:val="left"/>
              <w:rPr>
                <w:sz w:val="16"/>
              </w:rPr>
            </w:pPr>
            <w:r>
              <w:rPr>
                <w:b/>
                <w:color w:val="231F20"/>
                <w:sz w:val="16"/>
              </w:rPr>
              <w:t>Genetic information </w:t>
            </w:r>
            <w:r>
              <w:rPr>
                <w:color w:val="231F20"/>
                <w:sz w:val="16"/>
              </w:rPr>
              <w:t>failures</w:t>
            </w:r>
          </w:p>
        </w:tc>
        <w:tc>
          <w:tcPr>
            <w:tcW w:w="3610" w:type="dxa"/>
          </w:tcPr>
          <w:p>
            <w:pPr>
              <w:pStyle w:val="TableParagraph"/>
              <w:ind w:right="631"/>
              <w:rPr>
                <w:sz w:val="16"/>
              </w:rPr>
            </w:pPr>
            <w:r>
              <w:rPr>
                <w:color w:val="231F20"/>
                <w:sz w:val="16"/>
              </w:rPr>
              <w:t>$114 per day</w:t>
            </w:r>
          </w:p>
        </w:tc>
        <w:tc>
          <w:tcPr>
            <w:tcW w:w="3047" w:type="dxa"/>
          </w:tcPr>
          <w:p>
            <w:pPr>
              <w:pStyle w:val="TableParagraph"/>
              <w:ind w:right="78"/>
              <w:rPr>
                <w:sz w:val="16"/>
              </w:rPr>
            </w:pPr>
            <w:r>
              <w:rPr>
                <w:color w:val="231F20"/>
                <w:sz w:val="16"/>
              </w:rPr>
              <w:t>$117 per day</w:t>
            </w:r>
          </w:p>
        </w:tc>
      </w:tr>
      <w:tr>
        <w:trPr>
          <w:trHeight w:val="295" w:hRule="atLeast"/>
        </w:trPr>
        <w:tc>
          <w:tcPr>
            <w:tcW w:w="4143" w:type="dxa"/>
            <w:shd w:val="clear" w:color="auto" w:fill="F5F6F5"/>
          </w:tcPr>
          <w:p>
            <w:pPr>
              <w:pStyle w:val="TableParagraph"/>
              <w:spacing w:line="174" w:lineRule="exact"/>
              <w:ind w:left="80"/>
              <w:jc w:val="left"/>
              <w:rPr>
                <w:sz w:val="16"/>
              </w:rPr>
            </w:pPr>
            <w:r>
              <w:rPr>
                <w:color w:val="231F20"/>
                <w:sz w:val="16"/>
              </w:rPr>
              <w:t>De minimis failures to meet genetic information</w:t>
            </w:r>
          </w:p>
        </w:tc>
        <w:tc>
          <w:tcPr>
            <w:tcW w:w="3610" w:type="dxa"/>
            <w:shd w:val="clear" w:color="auto" w:fill="F5F6F5"/>
          </w:tcPr>
          <w:p>
            <w:pPr>
              <w:pStyle w:val="TableParagraph"/>
              <w:spacing w:line="174" w:lineRule="exact"/>
              <w:ind w:right="632"/>
              <w:rPr>
                <w:sz w:val="16"/>
              </w:rPr>
            </w:pPr>
            <w:r>
              <w:rPr>
                <w:color w:val="231F20"/>
                <w:sz w:val="16"/>
              </w:rPr>
              <w:t>$2,847minimum</w:t>
            </w:r>
          </w:p>
        </w:tc>
        <w:tc>
          <w:tcPr>
            <w:tcW w:w="3047" w:type="dxa"/>
            <w:shd w:val="clear" w:color="auto" w:fill="F5F6F5"/>
          </w:tcPr>
          <w:p>
            <w:pPr>
              <w:pStyle w:val="TableParagraph"/>
              <w:spacing w:line="174" w:lineRule="exact"/>
              <w:ind w:right="79"/>
              <w:rPr>
                <w:sz w:val="16"/>
              </w:rPr>
            </w:pPr>
            <w:r>
              <w:rPr>
                <w:color w:val="231F20"/>
                <w:sz w:val="16"/>
              </w:rPr>
              <w:t>$2,919 minimum</w:t>
            </w:r>
          </w:p>
        </w:tc>
      </w:tr>
      <w:tr>
        <w:trPr>
          <w:trHeight w:val="293" w:hRule="atLeast"/>
        </w:trPr>
        <w:tc>
          <w:tcPr>
            <w:tcW w:w="4143" w:type="dxa"/>
            <w:shd w:val="clear" w:color="auto" w:fill="F5F6F5"/>
          </w:tcPr>
          <w:p>
            <w:pPr>
              <w:pStyle w:val="TableParagraph"/>
              <w:spacing w:before="6"/>
              <w:ind w:left="80"/>
              <w:jc w:val="left"/>
              <w:rPr>
                <w:sz w:val="16"/>
              </w:rPr>
            </w:pPr>
            <w:r>
              <w:rPr>
                <w:color w:val="231F20"/>
                <w:sz w:val="16"/>
              </w:rPr>
              <w:t>requirements</w:t>
            </w:r>
          </w:p>
        </w:tc>
        <w:tc>
          <w:tcPr>
            <w:tcW w:w="3610" w:type="dxa"/>
            <w:shd w:val="clear" w:color="auto" w:fill="F5F6F5"/>
          </w:tcPr>
          <w:p>
            <w:pPr>
              <w:pStyle w:val="TableParagraph"/>
              <w:spacing w:before="0"/>
              <w:jc w:val="left"/>
              <w:rPr>
                <w:rFonts w:ascii="Times New Roman"/>
                <w:sz w:val="16"/>
              </w:rPr>
            </w:pPr>
          </w:p>
        </w:tc>
        <w:tc>
          <w:tcPr>
            <w:tcW w:w="3047" w:type="dxa"/>
            <w:shd w:val="clear" w:color="auto" w:fill="F5F6F5"/>
          </w:tcPr>
          <w:p>
            <w:pPr>
              <w:pStyle w:val="TableParagraph"/>
              <w:spacing w:before="0"/>
              <w:jc w:val="left"/>
              <w:rPr>
                <w:rFonts w:ascii="Times New Roman"/>
                <w:sz w:val="16"/>
              </w:rPr>
            </w:pPr>
          </w:p>
        </w:tc>
      </w:tr>
      <w:tr>
        <w:trPr>
          <w:trHeight w:val="295" w:hRule="atLeast"/>
        </w:trPr>
        <w:tc>
          <w:tcPr>
            <w:tcW w:w="4143" w:type="dxa"/>
          </w:tcPr>
          <w:p>
            <w:pPr>
              <w:pStyle w:val="TableParagraph"/>
              <w:spacing w:line="174" w:lineRule="exact"/>
              <w:ind w:left="80"/>
              <w:jc w:val="left"/>
              <w:rPr>
                <w:sz w:val="16"/>
              </w:rPr>
            </w:pPr>
            <w:r>
              <w:rPr>
                <w:color w:val="231F20"/>
                <w:sz w:val="16"/>
              </w:rPr>
              <w:t>Failure to meet genetic information requirements</w:t>
            </w:r>
          </w:p>
        </w:tc>
        <w:tc>
          <w:tcPr>
            <w:tcW w:w="3610" w:type="dxa"/>
          </w:tcPr>
          <w:p>
            <w:pPr>
              <w:pStyle w:val="TableParagraph"/>
              <w:spacing w:line="174" w:lineRule="exact"/>
              <w:ind w:right="632"/>
              <w:rPr>
                <w:sz w:val="16"/>
              </w:rPr>
            </w:pPr>
            <w:r>
              <w:rPr>
                <w:color w:val="231F20"/>
                <w:sz w:val="16"/>
              </w:rPr>
              <w:t>$17,084 minimum</w:t>
            </w:r>
          </w:p>
        </w:tc>
        <w:tc>
          <w:tcPr>
            <w:tcW w:w="3047" w:type="dxa"/>
          </w:tcPr>
          <w:p>
            <w:pPr>
              <w:pStyle w:val="TableParagraph"/>
              <w:spacing w:line="174" w:lineRule="exact"/>
              <w:ind w:right="79"/>
              <w:rPr>
                <w:sz w:val="16"/>
              </w:rPr>
            </w:pPr>
            <w:r>
              <w:rPr>
                <w:color w:val="231F20"/>
                <w:sz w:val="16"/>
              </w:rPr>
              <w:t>$17,515 minimum</w:t>
            </w:r>
          </w:p>
        </w:tc>
      </w:tr>
      <w:tr>
        <w:trPr>
          <w:trHeight w:val="293" w:hRule="atLeast"/>
        </w:trPr>
        <w:tc>
          <w:tcPr>
            <w:tcW w:w="4143" w:type="dxa"/>
          </w:tcPr>
          <w:p>
            <w:pPr>
              <w:pStyle w:val="TableParagraph"/>
              <w:spacing w:before="6"/>
              <w:ind w:left="80"/>
              <w:jc w:val="left"/>
              <w:rPr>
                <w:sz w:val="16"/>
              </w:rPr>
            </w:pPr>
            <w:r>
              <w:rPr>
                <w:color w:val="231F20"/>
                <w:sz w:val="16"/>
              </w:rPr>
              <w:t>– not de minimis failures</w:t>
            </w:r>
          </w:p>
        </w:tc>
        <w:tc>
          <w:tcPr>
            <w:tcW w:w="3610" w:type="dxa"/>
          </w:tcPr>
          <w:p>
            <w:pPr>
              <w:pStyle w:val="TableParagraph"/>
              <w:spacing w:before="0"/>
              <w:jc w:val="left"/>
              <w:rPr>
                <w:rFonts w:ascii="Times New Roman"/>
                <w:sz w:val="16"/>
              </w:rPr>
            </w:pPr>
          </w:p>
        </w:tc>
        <w:tc>
          <w:tcPr>
            <w:tcW w:w="3047" w:type="dxa"/>
          </w:tcPr>
          <w:p>
            <w:pPr>
              <w:pStyle w:val="TableParagraph"/>
              <w:spacing w:before="0"/>
              <w:jc w:val="left"/>
              <w:rPr>
                <w:rFonts w:ascii="Times New Roman"/>
                <w:sz w:val="16"/>
              </w:rPr>
            </w:pPr>
          </w:p>
        </w:tc>
      </w:tr>
      <w:tr>
        <w:trPr>
          <w:trHeight w:val="295" w:hRule="atLeast"/>
        </w:trPr>
        <w:tc>
          <w:tcPr>
            <w:tcW w:w="4143" w:type="dxa"/>
            <w:shd w:val="clear" w:color="auto" w:fill="F5F6F5"/>
          </w:tcPr>
          <w:p>
            <w:pPr>
              <w:pStyle w:val="TableParagraph"/>
              <w:spacing w:line="174" w:lineRule="exact"/>
              <w:ind w:left="80"/>
              <w:jc w:val="left"/>
              <w:rPr>
                <w:sz w:val="16"/>
              </w:rPr>
            </w:pPr>
            <w:r>
              <w:rPr>
                <w:color w:val="231F20"/>
                <w:sz w:val="16"/>
              </w:rPr>
              <w:t>Cap on unintentional failures to meet genetic</w:t>
            </w:r>
          </w:p>
        </w:tc>
        <w:tc>
          <w:tcPr>
            <w:tcW w:w="3610" w:type="dxa"/>
            <w:shd w:val="clear" w:color="auto" w:fill="F5F6F5"/>
          </w:tcPr>
          <w:p>
            <w:pPr>
              <w:pStyle w:val="TableParagraph"/>
              <w:spacing w:line="174" w:lineRule="exact"/>
              <w:ind w:right="632"/>
              <w:rPr>
                <w:sz w:val="16"/>
              </w:rPr>
            </w:pPr>
            <w:r>
              <w:rPr>
                <w:color w:val="231F20"/>
                <w:sz w:val="16"/>
              </w:rPr>
              <w:t>$569,468 maximum</w:t>
            </w:r>
          </w:p>
        </w:tc>
        <w:tc>
          <w:tcPr>
            <w:tcW w:w="3047" w:type="dxa"/>
            <w:shd w:val="clear" w:color="auto" w:fill="F5F6F5"/>
          </w:tcPr>
          <w:p>
            <w:pPr>
              <w:pStyle w:val="TableParagraph"/>
              <w:spacing w:line="174" w:lineRule="exact"/>
              <w:ind w:right="79"/>
              <w:rPr>
                <w:sz w:val="16"/>
              </w:rPr>
            </w:pPr>
            <w:r>
              <w:rPr>
                <w:color w:val="231F20"/>
                <w:sz w:val="16"/>
              </w:rPr>
              <w:t>$583,830 maximum</w:t>
            </w:r>
          </w:p>
        </w:tc>
      </w:tr>
      <w:tr>
        <w:trPr>
          <w:trHeight w:val="293" w:hRule="atLeast"/>
        </w:trPr>
        <w:tc>
          <w:tcPr>
            <w:tcW w:w="4143" w:type="dxa"/>
            <w:shd w:val="clear" w:color="auto" w:fill="F5F6F5"/>
          </w:tcPr>
          <w:p>
            <w:pPr>
              <w:pStyle w:val="TableParagraph"/>
              <w:spacing w:before="6"/>
              <w:ind w:left="80"/>
              <w:jc w:val="left"/>
              <w:rPr>
                <w:sz w:val="16"/>
              </w:rPr>
            </w:pPr>
            <w:r>
              <w:rPr>
                <w:color w:val="231F20"/>
                <w:sz w:val="16"/>
              </w:rPr>
              <w:t>information requirements</w:t>
            </w:r>
          </w:p>
        </w:tc>
        <w:tc>
          <w:tcPr>
            <w:tcW w:w="3610" w:type="dxa"/>
            <w:shd w:val="clear" w:color="auto" w:fill="F5F6F5"/>
          </w:tcPr>
          <w:p>
            <w:pPr>
              <w:pStyle w:val="TableParagraph"/>
              <w:spacing w:before="0"/>
              <w:jc w:val="left"/>
              <w:rPr>
                <w:rFonts w:ascii="Times New Roman"/>
                <w:sz w:val="16"/>
              </w:rPr>
            </w:pPr>
          </w:p>
        </w:tc>
        <w:tc>
          <w:tcPr>
            <w:tcW w:w="3047" w:type="dxa"/>
            <w:shd w:val="clear" w:color="auto" w:fill="F5F6F5"/>
          </w:tcPr>
          <w:p>
            <w:pPr>
              <w:pStyle w:val="TableParagraph"/>
              <w:spacing w:before="0"/>
              <w:jc w:val="left"/>
              <w:rPr>
                <w:rFonts w:ascii="Times New Roman"/>
                <w:sz w:val="16"/>
              </w:rPr>
            </w:pPr>
          </w:p>
        </w:tc>
      </w:tr>
    </w:tbl>
    <w:p>
      <w:pPr>
        <w:pStyle w:val="BodyText"/>
        <w:rPr>
          <w:sz w:val="22"/>
        </w:rPr>
      </w:pPr>
    </w:p>
    <w:p>
      <w:pPr>
        <w:pStyle w:val="BodyText"/>
        <w:rPr>
          <w:sz w:val="30"/>
        </w:rPr>
      </w:pPr>
    </w:p>
    <w:p>
      <w:pPr>
        <w:pStyle w:val="Heading1"/>
      </w:pPr>
      <w:r>
        <w:rPr>
          <w:color w:val="2D5064"/>
        </w:rPr>
        <w:t>Employer Action</w:t>
      </w:r>
    </w:p>
    <w:p>
      <w:pPr>
        <w:pStyle w:val="BodyText"/>
        <w:spacing w:before="11"/>
        <w:rPr>
          <w:rFonts w:ascii="Constantia"/>
          <w:sz w:val="30"/>
        </w:rPr>
      </w:pPr>
    </w:p>
    <w:p>
      <w:pPr>
        <w:pStyle w:val="BodyText"/>
        <w:spacing w:line="333" w:lineRule="auto"/>
        <w:ind w:left="720" w:right="687"/>
      </w:pPr>
      <w:r>
        <w:rPr>
          <w:color w:val="414042"/>
          <w:spacing w:val="-3"/>
        </w:rPr>
        <w:t>Private </w:t>
      </w:r>
      <w:r>
        <w:rPr>
          <w:color w:val="414042"/>
        </w:rPr>
        <w:t>employers, including non-profits, should ensure employees receive required notices timely (SBC, </w:t>
      </w:r>
      <w:r>
        <w:rPr>
          <w:color w:val="414042"/>
          <w:spacing w:val="-8"/>
        </w:rPr>
        <w:t>CHIP,</w:t>
      </w:r>
      <w:r>
        <w:rPr>
          <w:color w:val="414042"/>
          <w:spacing w:val="-4"/>
        </w:rPr>
        <w:t> SPD, etc.) </w:t>
      </w:r>
      <w:r>
        <w:rPr>
          <w:color w:val="414042"/>
        </w:rPr>
        <w:t>to </w:t>
      </w:r>
      <w:r>
        <w:rPr>
          <w:color w:val="414042"/>
          <w:spacing w:val="-3"/>
        </w:rPr>
        <w:t>prevent </w:t>
      </w:r>
      <w:r>
        <w:rPr>
          <w:color w:val="414042"/>
        </w:rPr>
        <w:t>civil penalty assessments. In addition, employers should ensure Form 5500s are properly and timely filed, if applicable. </w:t>
      </w:r>
      <w:r>
        <w:rPr>
          <w:color w:val="414042"/>
          <w:spacing w:val="-4"/>
        </w:rPr>
        <w:t>Finally, </w:t>
      </w:r>
      <w:r>
        <w:rPr>
          <w:color w:val="414042"/>
        </w:rPr>
        <w:t>employers facing document requests from EBSA should ensure documents are provided </w:t>
      </w:r>
      <w:r>
        <w:rPr>
          <w:color w:val="414042"/>
          <w:spacing w:val="-4"/>
        </w:rPr>
        <w:t>timely, </w:t>
      </w:r>
      <w:r>
        <w:rPr>
          <w:color w:val="414042"/>
        </w:rPr>
        <w:t>as requested.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spacing w:line="312" w:lineRule="auto" w:before="100"/>
        <w:ind w:left="720" w:right="978" w:firstLine="0"/>
        <w:jc w:val="left"/>
        <w:rPr>
          <w:sz w:val="12"/>
        </w:rPr>
      </w:pPr>
      <w:r>
        <w:rPr>
          <w:color w:val="9AA8A7"/>
          <w:sz w:val="12"/>
        </w:rPr>
        <w:t>This document is designed to highlight various employee benefit matters of general interest to our readers. It is not intended to interpret laws or regulations, or to address specific client situations. </w:t>
      </w:r>
      <w:r>
        <w:rPr>
          <w:color w:val="9AA8A7"/>
          <w:spacing w:val="-6"/>
          <w:sz w:val="12"/>
        </w:rPr>
        <w:t>You </w:t>
      </w:r>
      <w:r>
        <w:rPr>
          <w:color w:val="9AA8A7"/>
          <w:sz w:val="12"/>
        </w:rPr>
        <w:t>should not act or rely on any information contained herein without seeking the advice of an attorney or tax professional. </w:t>
      </w:r>
      <w:r>
        <w:rPr>
          <w:color w:val="939598"/>
          <w:spacing w:val="-3"/>
          <w:sz w:val="12"/>
        </w:rPr>
        <w:t>CA </w:t>
      </w:r>
      <w:r>
        <w:rPr>
          <w:color w:val="939598"/>
          <w:sz w:val="12"/>
        </w:rPr>
        <w:t>Insurance License #0C94240.</w:t>
      </w:r>
    </w:p>
    <w:sectPr>
      <w:type w:val="continuous"/>
      <w:pgSz w:w="12240" w:h="15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nstantia">
    <w:altName w:val="Constantia"/>
    <w:charset w:val="0"/>
    <w:family w:val="roman"/>
    <w:pitch w:val="variable"/>
  </w:font>
  <w:font w:name="Helvetica">
    <w:altName w:val="Helvetic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720"/>
      <w:outlineLvl w:val="1"/>
    </w:pPr>
    <w:rPr>
      <w:rFonts w:ascii="Constantia" w:hAnsi="Constantia" w:eastAsia="Constantia" w:cs="Constantia"/>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01"/>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ric.raymond@theraymondorganiz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2019-03-05T21:34:51Z</dcterms:created>
  <dcterms:modified xsi:type="dcterms:W3CDTF">2019-03-05T21:34:51Z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LastSaved">
    <vt:filetime>2019-01-28T00:00:00Z</vt:filetime>
  </property>
</Properties>
</file>